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Passavant DN50 90 Grad/1,0l/s/Pressfl./ohne WS/Anstrich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4002626528049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5151.10.20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Pressdichtungsflansch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 20 (GJL-200)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 x 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Z‑19.17‑2144 bei Verwendung eines Brandschutz-Sets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