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4000 SQ, 180 mm</w:t></w:r></w:p><w:p><w:pPr/><w:r><w:rPr/><w:t xml:space="preserve">BASF SE Styrodur®</w:t></w:r></w:p><w:p/><w:p><w:pPr/><w:r><w:pict><v:shape type="#_x0000_t75" stroked="f" style="width:180pt; height:6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spacing w:before="180" w:after="0"/></w:pPr><w:r><w:rPr><w:color w:val="6a6f75"/><w:sz w:val="20"/><w:szCs w:val="20"/></w:rPr><w:t xml:space="preserve">GTIN:</w:t></w:r></w:p><w:p><w:pPr><w:spacing w:after="0"/></w:pPr><w:r><w:rPr><w:sz w:val="20"/><w:szCs w:val="20"/></w:rPr><w:t xml:space="preserve">4014439012066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DEO, DUK, PB, PW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180,00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ds - sehr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0,50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50,00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Gründungsplatte, Bodendämmung, Flachdachdämmung Umkehrdach, Frostschutz im Straßen- und Gleisbau, Kunsteisbahnen, für Anwendungen im Grundwasser zugelassen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0,035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5,1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30000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180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230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9000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Z-23.31-2083, Z-23.33-2084, ETA 20/0219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2025-10-23T00:54:21+02:00</dcterms:created>
  <dcterms:modified xsi:type="dcterms:W3CDTF">2025-10-23T00:54:21+02:00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