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Dekorprofile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EPS-Hartschaumkern mit stoßfester Beschichtung aus Edelharz und Mineralien, hochverdichteter Polyurethanschaum, Hochwertige Klebstoff- und Dichtungsmasse auf Hybridpolymerbasis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Fassadengestaltung oder Verschönerung, auf WDVS Hartschaum-Dämmplatten und WDVS Mineralwolle-Dämmplatten, ebene Putzflächen, unbehandelter Beton, dekorative und individuelle Fassadengestaltung, an Neu-/Altbauten, im WDV-System, tragfähige Untergründe, ebene Putzflächen (überwiegend hydraulisch erhärtender MG PII, PIII), Beton, intakte Dispersionsfarbenanstriche, Kunstharzbeschichtungen (Putze), auch im Innenbereich, fachgerechte und dauerhafte Montage von domostyl Fassadenprofilen/-elementen, tragfähige und klebegeeignete Untergründe, Putz (MG PII und PIII), Beton, intakte Dispersionsfarbenanstriche, neue Kunstharzbeschichtungen, Armierungsmassen im WDVS, geschlossen Dehnungsfuge mit dem WDVS Dehnungsfugenprofil G 3806, geschlossen Dehnungsfuge mit dem WDVS Dehnungsfugenprofil G 3805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Profilenden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werkseitig exakt geschnitten, werkseitig "bossiert"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