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EPS Prime Bossenplatte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B1, 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Im Systemaufbau zugelassene Dämmplatte für den Einsatz im Brillux WDV-System EPS Prime.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Anwendungsgebiete Wärmedämmstoff (weitere)</w:t>
      </w:r>
    </w:p>
    <w:p>
      <w:pPr>
        <w:keepLines w:val="1"/>
        <w:spacing w:after="0"/>
      </w:pPr>
      <w:r>
        <w:rPr>
          <w:sz w:val="20"/>
          <w:szCs w:val="20"/>
        </w:rPr>
        <w:t xml:space="preserve">Zur optischen Aufwertung und architektonischen Gestaltung der Fassadenflächen.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Trapeznut schmal, 3/2 cm breit, 1.5 cm tief, Trapeznut breit, 3.5/2 cm breit, 1.5 cm tief, Dreiecksnut schmal, 3/0 cm breit, 1.5 cm tief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senkrecht zur Plattenebene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100 kPa nach DIN EN 1607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2025-09-27T22:06:06+02:00</dcterms:created>
  <dcterms:modified xsi:type="dcterms:W3CDTF">2025-09-27T22:06:06+02:00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