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Brillux Silikat Putz</w:t>
      </w:r>
    </w:p>
    <w:p>
      <w:pPr/>
      <w:r>
        <w:rPr/>
        <w:t xml:space="preserve">Brillux</w:t>
      </w:r>
    </w:p>
    <w:p/>
    <w:p>
      <w:pPr/>
      <w:r>
        <w:pict>
          <v:shape type="#_x0000_t75" stroked="f" style="width:180pt; height:180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Farbton</w:t>
      </w:r>
    </w:p>
    <w:p>
      <w:pPr>
        <w:keepLines w:val="1"/>
        <w:spacing w:after="0"/>
      </w:pPr>
      <w:r>
        <w:rPr>
          <w:sz w:val="20"/>
          <w:szCs w:val="20"/>
        </w:rPr>
        <w:t xml:space="preserve">weiß</w:t>
      </w:r>
    </w:p>
    <w:p>
      <w:pPr>
        <w:keepNext w:val="1"/>
        <w:keepLines w:val="1"/>
        <w:spacing w:before="120" w:after="0"/>
      </w:pPr>
      <w:r>
        <w:rPr>
          <w:color w:val="6a6f75"/>
          <w:sz w:val="20"/>
          <w:szCs w:val="20"/>
        </w:rPr>
        <w:t xml:space="preserve">Werkstoff</w:t>
      </w:r>
    </w:p>
    <w:p>
      <w:pPr>
        <w:keepLines w:val="1"/>
        <w:spacing w:after="0"/>
      </w:pPr>
      <w:r>
        <w:rPr>
          <w:sz w:val="20"/>
          <w:szCs w:val="20"/>
        </w:rPr>
        <w:t xml:space="preserve">Silikat</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A2-s1, d0</w:t>
      </w:r>
    </w:p>
    <w:p>
      <w:pPr>
        <w:keepNext w:val="1"/>
        <w:keepLines w:val="1"/>
        <w:spacing w:before="120" w:after="0"/>
      </w:pPr>
      <w:r>
        <w:rPr>
          <w:color w:val="6a6f75"/>
          <w:sz w:val="20"/>
          <w:szCs w:val="20"/>
        </w:rPr>
        <w:t xml:space="preserve">Diffusionsfähigkeit</w:t>
      </w:r>
    </w:p>
    <w:p>
      <w:pPr>
        <w:keepLines w:val="1"/>
        <w:spacing w:after="0"/>
      </w:pPr>
      <w:r>
        <w:rPr>
          <w:sz w:val="20"/>
          <w:szCs w:val="20"/>
        </w:rPr>
        <w:t xml:space="preserve">diffusionsfähig</w:t>
      </w:r>
    </w:p>
    <w:p>
      <w:pPr>
        <w:keepNext w:val="1"/>
        <w:keepLines w:val="1"/>
        <w:spacing w:before="120" w:after="0"/>
      </w:pPr>
      <w:r>
        <w:rPr>
          <w:color w:val="6a6f75"/>
          <w:sz w:val="20"/>
          <w:szCs w:val="20"/>
        </w:rPr>
        <w:t xml:space="preserve">Lösemittelhaltigkeit / Wasserverdünnbarkeit</w:t>
      </w:r>
    </w:p>
    <w:p>
      <w:pPr>
        <w:keepLines w:val="1"/>
        <w:spacing w:after="0"/>
      </w:pPr>
      <w:r>
        <w:rPr>
          <w:sz w:val="20"/>
          <w:szCs w:val="20"/>
        </w:rPr>
        <w:t xml:space="preserve">wasserverdünnbar</w:t>
      </w:r>
    </w:p>
    <w:p>
      <w:pPr>
        <w:keepNext w:val="1"/>
        <w:keepLines w:val="1"/>
        <w:spacing w:before="120" w:after="0"/>
      </w:pPr>
      <w:r>
        <w:rPr>
          <w:color w:val="6a6f75"/>
          <w:sz w:val="20"/>
          <w:szCs w:val="20"/>
        </w:rPr>
        <w:t xml:space="preserve">Trocknungszeit [h] (h)</w:t>
      </w:r>
    </w:p>
    <w:p>
      <w:pPr>
        <w:keepLines w:val="1"/>
        <w:spacing w:after="0"/>
      </w:pPr>
      <w:r>
        <w:rPr>
          <w:sz w:val="20"/>
          <w:szCs w:val="20"/>
        </w:rPr>
        <w:t xml:space="preserve">120,00</w:t>
      </w:r>
    </w:p>
    <w:p>
      <w:pPr>
        <w:keepNext w:val="1"/>
        <w:keepLines w:val="1"/>
        <w:spacing w:before="120" w:after="0"/>
      </w:pPr>
      <w:r>
        <w:rPr>
          <w:color w:val="6a6f75"/>
          <w:sz w:val="20"/>
          <w:szCs w:val="20"/>
        </w:rPr>
        <w:t xml:space="preserve">Verarbeitungstemperatur (°C)</w:t>
      </w:r>
    </w:p>
    <w:p>
      <w:pPr>
        <w:keepLines w:val="1"/>
        <w:spacing w:after="0"/>
      </w:pPr>
      <w:r>
        <w:rPr>
          <w:sz w:val="20"/>
          <w:szCs w:val="20"/>
        </w:rPr>
        <w:t xml:space="preserve">5,00 - 30,00</w:t>
      </w:r>
    </w:p>
    <w:p>
      <w:pPr>
        <w:keepNext w:val="1"/>
        <w:keepLines w:val="1"/>
        <w:spacing w:before="120" w:after="0"/>
      </w:pPr>
      <w:r>
        <w:rPr>
          <w:color w:val="6a6f75"/>
          <w:sz w:val="20"/>
          <w:szCs w:val="20"/>
        </w:rPr>
        <w:t xml:space="preserve">Ausführung</w:t>
      </w:r>
    </w:p>
    <w:p>
      <w:pPr>
        <w:keepLines w:val="1"/>
        <w:spacing w:after="0"/>
      </w:pPr>
      <w:r>
        <w:rPr>
          <w:sz w:val="20"/>
          <w:szCs w:val="20"/>
        </w:rPr>
        <w:t xml:space="preserve">hohe Haftung, verkieselt, leicht strukturierbar, oberflächenaktiv, hydrophil, sorgt für einen ausgeglichenen Feuchtehaushalt, schützt vor einem frühzeitigen Algen- und/oder Pilzbefall, hohe Haftung, verkieselt, äußerst diffusionsfähig, leicht strukturierbar, oberflächenaktiv, hydrophil, sorgt für einen ausgeglichenen Feuchtehaushalt, schützt vor einem frühzeitigen Algen- und/oder Pilzbefall, hohe Haftung, verkieselt, äußerst wasserdampfdiffusionsfähig, rationell und leicht im Spritzverfahren verarbeitbar, leicht strukturierbar, hohe Haftung</w:t>
      </w:r>
    </w:p>
    <w:p>
      <w:pPr>
        <w:keepNext w:val="1"/>
        <w:keepLines w:val="1"/>
        <w:spacing w:before="120" w:after="0"/>
      </w:pPr>
      <w:r>
        <w:rPr>
          <w:color w:val="6a6f75"/>
          <w:sz w:val="20"/>
          <w:szCs w:val="20"/>
        </w:rPr>
        <w:t xml:space="preserve">Anwendungsbereich</w:t>
      </w:r>
    </w:p>
    <w:p>
      <w:pPr>
        <w:keepLines w:val="1"/>
        <w:spacing w:after="0"/>
      </w:pPr>
      <w:r>
        <w:rPr>
          <w:sz w:val="20"/>
          <w:szCs w:val="20"/>
        </w:rPr>
        <w:t xml:space="preserve">zur Erzielung dekorativer und mineralischer Oberflächen auf verkieselungsfähigen und mineralischen Untergründen, z. B. ebenen Außen-putzflächen, mineralischen Armierungsmassen im Brillux WDVS, zur Erzielung dekorativer und mineralischer Oberflächen in Spritzputzoptik, auf ebenen und verkieselungsfähigen, mineralischen Untergründen , auf z.B. ebenen Außenputz, auf Flächen mit lang anhaltender Feuchtebelastung und an hoch wärmegedämmten Fassaden in „Protect-Qualität“ einsetzen, zur Erzielung dekorativer und mineralischer Oberflächen auf verkieselungsfähigen und mineralischen Untergründen, außen, auf z.B. ebenen Außenputz, sowie im Brillux WDVSystem, auf Flächen mit lang anhaltender Feuchtebelastung sowie an hoch wärmegedämmten Fassaden in „Protect-Qualität“ einsetzen</w:t>
      </w:r>
    </w:p>
    <w:p>
      <w:pPr>
        <w:keepNext w:val="1"/>
        <w:keepLines w:val="1"/>
        <w:spacing w:before="120" w:after="0"/>
      </w:pPr>
      <w:r>
        <w:rPr>
          <w:color w:val="6a6f75"/>
          <w:sz w:val="20"/>
          <w:szCs w:val="20"/>
        </w:rPr>
        <w:t xml:space="preserve">Werkstoffbasis</w:t>
      </w:r>
    </w:p>
    <w:p>
      <w:pPr>
        <w:keepLines w:val="1"/>
        <w:spacing w:after="0"/>
      </w:pPr>
      <w:r>
        <w:rPr>
          <w:sz w:val="20"/>
          <w:szCs w:val="20"/>
        </w:rPr>
        <w:t xml:space="preserve">Kaliwasserglas mit organischen Stabilisatoren</w:t>
      </w:r>
    </w:p>
    <w:p>
      <w:pPr>
        <w:keepNext w:val="1"/>
        <w:keepLines w:val="1"/>
        <w:spacing w:before="120" w:after="0"/>
      </w:pPr>
      <w:r>
        <w:rPr>
          <w:color w:val="6a6f75"/>
          <w:sz w:val="20"/>
          <w:szCs w:val="20"/>
        </w:rPr>
        <w:t xml:space="preserve">Eigenschaften</w:t>
      </w:r>
    </w:p>
    <w:p>
      <w:pPr>
        <w:keepLines w:val="1"/>
        <w:spacing w:after="0"/>
      </w:pPr>
      <w:r>
        <w:rPr>
          <w:sz w:val="20"/>
          <w:szCs w:val="20"/>
        </w:rPr>
        <w:t xml:space="preserve">wetterbeständig</w:t>
      </w:r>
    </w:p>
    <w:p>
      <w:pPr>
        <w:keepNext w:val="1"/>
        <w:keepLines w:val="1"/>
        <w:spacing w:before="120" w:after="0"/>
      </w:pPr>
      <w:r>
        <w:rPr>
          <w:color w:val="6a6f75"/>
          <w:sz w:val="20"/>
          <w:szCs w:val="20"/>
        </w:rPr>
        <w:t xml:space="preserve">Haftfestigkeit</w:t>
      </w:r>
    </w:p>
    <w:p>
      <w:pPr>
        <w:keepLines w:val="1"/>
        <w:spacing w:after="0"/>
      </w:pPr>
      <w:r>
        <w:rPr>
          <w:sz w:val="20"/>
          <w:szCs w:val="20"/>
        </w:rPr>
        <w:t xml:space="preserve">≥ 0.3 MPa</w:t>
      </w:r>
    </w:p>
    <w:p>
      <w:pPr>
        <w:keepNext w:val="1"/>
        <w:keepLines w:val="1"/>
        <w:spacing w:before="120" w:after="0"/>
      </w:pPr>
      <w:r>
        <w:rPr>
          <w:color w:val="6a6f75"/>
          <w:sz w:val="20"/>
          <w:szCs w:val="20"/>
        </w:rPr>
        <w:t xml:space="preserve">Wasserdampfdurchlässigkeit</w:t>
      </w:r>
    </w:p>
    <w:p>
      <w:pPr>
        <w:keepLines w:val="1"/>
        <w:spacing w:after="0"/>
      </w:pPr>
      <w:r>
        <w:rPr>
          <w:sz w:val="20"/>
          <w:szCs w:val="20"/>
        </w:rPr>
        <w:t xml:space="preserve">V1 hoch</w:t>
      </w:r>
    </w:p>
    <w:p>
      <w:pPr>
        <w:keepNext w:val="1"/>
        <w:keepLines w:val="1"/>
        <w:spacing w:before="120" w:after="0"/>
      </w:pPr>
      <w:r>
        <w:rPr>
          <w:color w:val="6a6f75"/>
          <w:sz w:val="20"/>
          <w:szCs w:val="20"/>
        </w:rPr>
        <w:t xml:space="preserve">Körnung</w:t>
      </w:r>
    </w:p>
    <w:p>
      <w:pPr>
        <w:keepLines w:val="1"/>
        <w:spacing w:after="0"/>
      </w:pPr>
      <w:r>
        <w:rPr>
          <w:sz w:val="20"/>
          <w:szCs w:val="20"/>
        </w:rPr>
        <w:t xml:space="preserve">K2, K3</w:t>
      </w:r>
    </w:p>
    <w:p>
      <w:pPr>
        <w:keepNext w:val="1"/>
        <w:keepLines w:val="1"/>
        <w:spacing w:before="120" w:after="0"/>
      </w:pPr>
      <w:r>
        <w:rPr>
          <w:color w:val="6a6f75"/>
          <w:sz w:val="20"/>
          <w:szCs w:val="20"/>
        </w:rPr>
        <w:t xml:space="preserve">Farbausführung</w:t>
      </w:r>
    </w:p>
    <w:p>
      <w:pPr>
        <w:keepLines w:val="1"/>
        <w:spacing w:after="0"/>
      </w:pPr>
      <w:r>
        <w:rPr>
          <w:sz w:val="20"/>
          <w:szCs w:val="20"/>
        </w:rPr>
        <w:t xml:space="preserve">Hybrid Protect (ohne Biozid gegen Algen und Pilze), optional in Protect-Qualität (Filmschutz gegen Algen- und Pilzbefall der Beschichtung), in Protect-Qualität (Filmschutz gegen Algen- und Pilzbefall der Beschichtung)</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26.09.2025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69,166666666667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Brillux</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2025-09-26T22:45:59+02:00</dcterms:created>
  <dcterms:modified xsi:type="dcterms:W3CDTF">2025-09-26T22:45:59+02:00</dcterms:modified>
</cp:coreProperties>
</file>

<file path=docProps/custom.xml><?xml version="1.0" encoding="utf-8"?>
<Properties xmlns="http://schemas.openxmlformats.org/officeDocument/2006/custom-properties" xmlns:vt="http://schemas.openxmlformats.org/officeDocument/2006/docPropsVTypes"/>
</file>