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Brillux WDVS Dachbelüftungsprofil</w:t>
      </w:r>
    </w:p>
    <w:p>
      <w:pPr/>
      <w:r>
        <w:rPr/>
        <w:t xml:space="preserve">Brillux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3513.0250.0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Profilart</w:t>
      </w:r>
    </w:p>
    <w:p>
      <w:pPr>
        <w:keepLines w:val="1"/>
        <w:spacing w:after="0"/>
      </w:pPr>
      <w:r>
        <w:rPr>
          <w:sz w:val="20"/>
          <w:szCs w:val="20"/>
        </w:rPr>
        <w:t xml:space="preserve">Abschlussprofil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Beschichtung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Anwendungsbereich</w:t>
      </w:r>
    </w:p>
    <w:p>
      <w:pPr>
        <w:keepLines w:val="1"/>
        <w:spacing w:after="0"/>
      </w:pPr>
      <w:r>
        <w:rPr>
          <w:sz w:val="20"/>
          <w:szCs w:val="20"/>
        </w:rPr>
        <w:t xml:space="preserve">Systemabschlusses im Dachbereich bei erforderlicher Dachbelüftung („Kalt-dach“)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04.10.2025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9,16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Brillux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2025-10-04T23:01:39+02:00</dcterms:created>
  <dcterms:modified xsi:type="dcterms:W3CDTF">2025-10-04T23:01:39+02:00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