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Raffstorekasten Miwo 3862.0004 - ohne Mauerwerksdämmung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3862.0004.0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 bzw. L-förmiges Mineralwolle-Element mit Mineralwolle-Kern, eingelassene Alu-Schiene, integrierte luftdichte Stromanschlussdose, Abschlussprofil mit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Herstellung von Fenster-/Türstürzen bei anzubringenden Jalousien-Elementen (Raffstore), in WDVS ab einer Dämmdicke ≥ 160 mm, als integraler Bestandteil in den Brillux WDV-Systemen.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der Wärmeleitfähigkeit λ</w:t>
      </w:r>
    </w:p>
    <w:p>
      <w:pPr>
        <w:keepLines w:val="1"/>
        <w:spacing w:after="0"/>
      </w:pPr>
      <w:r>
        <w:rPr>
          <w:sz w:val="20"/>
          <w:szCs w:val="20"/>
        </w:rPr>
        <w:t xml:space="preserve">MW-Kern und Dämmung (bei Mauerwerksdämmung): 0.037 W/(mK)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 mit Glasvlieseinbettung, Unterseite und Innenbereich (Schachtinnenseiten) weiß endbeschichtet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Dämmdicken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Stromanschlussdose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luftdicht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2025-10-01T07:18:03+02:00</dcterms:created>
  <dcterms:modified xsi:type="dcterms:W3CDTF">2025-10-01T07:18:03+02:00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