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PC® Hochtemperatur-Abriebschutz (H.T.A.A.)</w:t>
      </w:r>
    </w:p>
    <w:p>
      <w:pPr/>
      <w:r>
        <w:rPr/>
        <w:t xml:space="preserve">Deutsche FOAMGLAS</w:t>
      </w:r>
    </w:p>
    <w:p/>
    <w:p>
      <w:pPr/>
      <w:r>
        <w:pict>
          <v:shape type="#_x0000_t75" stroked="f" style="width:180pt; height:108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grau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Gips, Zement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Dichte (kg/m³)</w:t>
      </w:r>
    </w:p>
    <w:p>
      <w:pPr>
        <w:keepLines w:val="1"/>
        <w:spacing w:after="0"/>
      </w:pPr>
      <w:r>
        <w:rPr>
          <w:sz w:val="20"/>
          <w:szCs w:val="20"/>
        </w:rPr>
        <w:t xml:space="preserve">1.000,00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Temperaturbeständigkeit (°C)</w:t>
      </w:r>
    </w:p>
    <w:p>
      <w:pPr>
        <w:keepLines w:val="1"/>
        <w:spacing w:after="0"/>
      </w:pPr>
      <w:r>
        <w:rPr>
          <w:sz w:val="20"/>
          <w:szCs w:val="20"/>
        </w:rPr>
        <w:t xml:space="preserve">-268,00 - 430,00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Verarbeitungstemperatur (°C)</w:t>
      </w:r>
    </w:p>
    <w:p>
      <w:pPr>
        <w:keepLines w:val="1"/>
        <w:spacing w:after="0"/>
      </w:pPr>
      <w:r>
        <w:rPr>
          <w:sz w:val="20"/>
          <w:szCs w:val="20"/>
        </w:rPr>
        <w:t xml:space="preserve">5,00 - 45,00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feuerfest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Austrocknungszeit</w:t>
      </w:r>
    </w:p>
    <w:p>
      <w:pPr>
        <w:keepLines w:val="1"/>
        <w:spacing w:after="0"/>
      </w:pPr>
      <w:r>
        <w:rPr>
          <w:sz w:val="20"/>
          <w:szCs w:val="20"/>
        </w:rPr>
        <w:t xml:space="preserve">24 Stunden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Gebinde / Verpackung</w:t>
      </w:r>
    </w:p>
    <w:p>
      <w:pPr>
        <w:keepLines w:val="1"/>
        <w:spacing w:after="0"/>
      </w:pPr>
      <w:r>
        <w:rPr>
          <w:sz w:val="20"/>
          <w:szCs w:val="20"/>
        </w:rPr>
        <w:t xml:space="preserve">25 kg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04.10.2025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Deutsche FOAMGLAS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2025-10-04T22:59:39+02:00</dcterms:created>
  <dcterms:modified xsi:type="dcterms:W3CDTF">2025-10-04T22:59:39+02:00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