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Schiebetürantrieb CS 80 MAGNEO 1-flügelig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CS 80 Magneo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Glastür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Notbetrieb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Nothandbetrieb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Betriebsgeräusch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(Antriebsverkleidungslänge)</w:t>
      </w:r>
    </w:p>
    <w:p>
      <w:pPr>
        <w:keepLines w:val="1"/>
        <w:spacing w:after="0"/>
      </w:pPr>
      <w:r>
        <w:rPr>
          <w:sz w:val="20"/>
          <w:szCs w:val="20"/>
        </w:rPr>
        <w:t xml:space="preserve">1840 mm (bei Längenvariante LV1), 2090 mm (bei Längenvariante LV2), 2340 mm (bei Längenvariante LV3)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Offenhaltezeit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Fahrweg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 mm (Längenvariante LV1), 1000 mm (Längenvariante LV2), 1125 mm (Längenvariante LV3)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Stand-By [W]</w:t>
      </w:r>
    </w:p>
    <w:p>
      <w:pPr>
        <w:keepLines w:val="1"/>
        <w:spacing w:after="0"/>
      </w:pPr>
      <w:r>
        <w:rPr>
          <w:sz w:val="20"/>
          <w:szCs w:val="20"/>
        </w:rPr>
        <w:t xml:space="preserve">3.70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Offenhaltezeit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bis 30 Sekunden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Spannungsversorgung für externe Verbraucher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27 V DC, 0,7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2025-09-30T22:32:09+02:00</dcterms:created>
  <dcterms:modified xsi:type="dcterms:W3CDTF">2025-09-30T22:32:09+02:00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