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FAKRO Schwingfenster mit höher versetzter Schwingachse FDY-V U3 Duet proSky</w:t>
      </w:r>
    </w:p>
    <w:p>
      <w:pPr/>
      <w:r>
        <w:rPr/>
        <w:t xml:space="preserve">FAKRO Dachfenster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Einbauteil, Dach</w:t>
      </w:r>
    </w:p>
    <w:p>
      <w:pPr>
        <w:keepLines w:val="1"/>
        <w:spacing w:after="0"/>
      </w:pPr>
      <w:r>
        <w:rPr>
          <w:sz w:val="20"/>
          <w:szCs w:val="20"/>
        </w:rPr>
        <w:t xml:space="preserve">Dachfenster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Holzart/Holzdekor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Lichtdurchlässigkeit 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transparent / klar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Schwingflügel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Doppelverglasung, Isolierverglasung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Eindeckrahmen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Holzart</w:t>
      </w:r>
    </w:p>
    <w:p>
      <w:pPr>
        <w:keepLines w:val="1"/>
        <w:spacing w:after="0"/>
      </w:pPr>
      <w:r>
        <w:rPr>
          <w:sz w:val="20"/>
          <w:szCs w:val="20"/>
        </w:rPr>
        <w:t xml:space="preserve">Kiefer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2 - 30 bis 34 dB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Gesamtblendrahmen außen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0,78 - 0,94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Dachneigung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20,00 - 65,00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Gesamtenergiedurchlass (%)</w:t>
      </w:r>
    </w:p>
    <w:p>
      <w:pPr>
        <w:keepLines w:val="1"/>
        <w:spacing w:after="0"/>
      </w:pPr>
      <w:r>
        <w:rPr>
          <w:sz w:val="20"/>
          <w:szCs w:val="20"/>
        </w:rPr>
        <w:t xml:space="preserve">0,62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 Gesamtblendrahmen außen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2,06 - 2,55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Ug-Wert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Uw-Wert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1,30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der Dauerlüftung</w:t>
      </w:r>
    </w:p>
    <w:p>
      <w:pPr>
        <w:keepLines w:val="1"/>
        <w:spacing w:after="0"/>
      </w:pPr>
      <w:r>
        <w:rPr>
          <w:sz w:val="20"/>
          <w:szCs w:val="20"/>
        </w:rPr>
        <w:t xml:space="preserve">V40P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Scheibenaufbau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4H-16-4T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FAKRO Dachfenster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2025-10-16T00:55:03+02:00</dcterms:created>
  <dcterms:modified xsi:type="dcterms:W3CDTF">2025-10-16T00:55:03+02:00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