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FAKRO Schwingfenster mit höher versetzter Schwingachse PYP-V U3 proSky</w:t>
      </w:r>
    </w:p>
    <w:p>
      <w:pPr/>
      <w:r>
        <w:rPr/>
        <w:t xml:space="preserve">FAKRO Dachfenster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 / klar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Isolierverglasung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2 - 30 bis 34 dB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0,62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</w:t>
      </w:r>
    </w:p>
    <w:p>
      <w:pPr>
        <w:keepLines w:val="1"/>
        <w:spacing w:after="0"/>
      </w:pPr>
      <w:r>
        <w:rPr>
          <w:sz w:val="20"/>
          <w:szCs w:val="20"/>
        </w:rPr>
        <w:t xml:space="preserve">bis 41m³/h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der Dauerlüftung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Scheibenaufbau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4H-16-4T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FAKRO Dachfenster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2025-10-16T00:20:37+02:00</dcterms:created>
  <dcterms:modified xsi:type="dcterms:W3CDTF">2025-10-16T00:20:37+02:00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