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Top Clean CLASSIC 22 mit Rips</w:t>
      </w:r>
    </w:p>
    <w:p>
      <w:pPr/>
      <w:r>
        <w:rPr/>
        <w:t xml:space="preserve">fuma</w:t>
      </w:r>
    </w:p>
    <w:p/>
    <w:p>
      <w:pPr/>
      <w:r>
        <w:pict>
          <v:shape type="#_x0000_t75" stroked="f" style="width:180pt; height:102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besondere Schalldämmanforderungen, normale Beanspruchung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blau, braun, dunkelgrau, grün, hellgrau,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Polyethylen (PE), 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Feinrips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aufliegend, Rahmeneinbau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12,20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Belastbarkeit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Befahrbar mit</w:t>
      </w:r>
    </w:p>
    <w:p>
      <w:pPr>
        <w:keepLines w:val="1"/>
        <w:spacing w:after="0"/>
      </w:pPr>
      <w:r>
        <w:rPr>
          <w:sz w:val="20"/>
          <w:szCs w:val="20"/>
        </w:rPr>
        <w:t xml:space="preserve">Rollstuhl, Gepäck-Trolley, Einkaufswagen, Transportwagen, Hubwagen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Objektbereiche, öffentliche Bereiche, private Bereiche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fuma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2025-10-03T22:07:08+02:00</dcterms:created>
  <dcterms:modified xsi:type="dcterms:W3CDTF">2025-10-03T22:07:08+02:00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