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ATTRACTION CLEANTECH 600X600 - Fliesen</w:t>
      </w:r>
    </w:p>
    <w:p>
      <w:pPr/>
      <w:r>
        <w:rPr/>
        <w:t xml:space="preserve">Gerflor</w:t>
      </w:r>
    </w:p>
    <w:p/>
    <w:p>
      <w:pPr/>
      <w:r>
        <w:pict>
          <v:shape type="#_x0000_t75" stroked="f" style="width:180pt; height:131,4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34, Klasse 43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Dekor</w:t>
      </w:r>
    </w:p>
    <w:p>
      <w:pPr>
        <w:keepLines w:val="1"/>
        <w:spacing w:after="0"/>
      </w:pPr>
      <w:r>
        <w:rPr>
          <w:sz w:val="20"/>
          <w:szCs w:val="20"/>
        </w:rPr>
        <w:t xml:space="preserve">Beton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beige, blau, dunkelbeige, dunkelgrau, grau, grün, hellbeige, hellgrau, orange, 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Aufladungsspannung im Begehversuch</w:t>
      </w:r>
    </w:p>
    <w:p>
      <w:pPr>
        <w:keepLines w:val="1"/>
        <w:spacing w:after="0"/>
      </w:pPr>
      <w:r>
        <w:rPr>
          <w:sz w:val="20"/>
          <w:szCs w:val="20"/>
        </w:rPr>
        <w:t xml:space="preserve">max. 2 kV (antistatisch)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lose verlegen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Bodenbelag heterogen/homogen</w:t>
      </w:r>
    </w:p>
    <w:p>
      <w:pPr>
        <w:keepLines w:val="1"/>
        <w:spacing w:after="0"/>
      </w:pPr>
      <w:r>
        <w:rPr>
          <w:sz w:val="20"/>
          <w:szCs w:val="20"/>
        </w:rPr>
        <w:t xml:space="preserve">heterogen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Herstellerangabe, haushaltschemikalienbeständig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lichtecht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Formaldehyd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Fliesen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Verschleißgruppe/-klasse Bodenbelag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Bindemittelgehalt Typ 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Anteil Recyclingmaterial (%)</w:t>
      </w:r>
    </w:p>
    <w:p>
      <w:pPr>
        <w:keepLines w:val="1"/>
        <w:spacing w:after="0"/>
      </w:pPr>
      <w:r>
        <w:rPr>
          <w:sz w:val="20"/>
          <w:szCs w:val="20"/>
        </w:rPr>
        <w:t xml:space="preserve">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Nutzschicht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7,46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Reflexionsgrad (%)</w:t>
      </w:r>
    </w:p>
    <w:p>
      <w:pPr>
        <w:keepLines w:val="1"/>
        <w:spacing w:after="0"/>
      </w:pPr>
      <w:r>
        <w:rPr>
          <w:sz w:val="20"/>
          <w:szCs w:val="20"/>
        </w:rPr>
        <w:t xml:space="preserve">7,30 - 63,70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Resteindruck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Gerflor_Farbcode</w:t>
      </w:r>
    </w:p>
    <w:p>
      <w:pPr>
        <w:keepLines w:val="1"/>
        <w:spacing w:after="0"/>
      </w:pPr>
      <w:r>
        <w:rPr>
          <w:sz w:val="20"/>
          <w:szCs w:val="20"/>
        </w:rPr>
        <w:t xml:space="preserve">2740, 2741, 2742, 2743, 2744, 2745, 3707, 3709, 4003, 4004, 4146, 4342, 4343, 4351, 4476, 8053, 8157, 8386, 8577, 8736, 8837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Desinfektionsmittelbeständig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≥ Stufe 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Maßstabilität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≤ 0,25 %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Nachhaltigkeit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vollständig recycelbar, hergestellt mit bis zu 80 % Recyclinganteil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Oberflächenvergütung</w:t>
      </w:r>
    </w:p>
    <w:p>
      <w:pPr>
        <w:keepLines w:val="1"/>
        <w:spacing w:after="0"/>
      </w:pPr>
      <w:r>
        <w:rPr>
          <w:sz w:val="20"/>
          <w:szCs w:val="20"/>
        </w:rPr>
        <w:t xml:space="preserve">Protecsol®2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REACH-konform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Zertifikate</w:t>
      </w:r>
    </w:p>
    <w:p>
      <w:pPr>
        <w:keepLines w:val="1"/>
        <w:spacing w:after="0"/>
      </w:pPr>
      <w:r>
        <w:rPr>
          <w:sz w:val="20"/>
          <w:szCs w:val="20"/>
        </w:rPr>
        <w:t xml:space="preserve">FloorScore®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Frei von Schwermetallen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TVOC (28 Tage)</w:t>
      </w:r>
    </w:p>
    <w:p>
      <w:pPr>
        <w:keepLines w:val="1"/>
        <w:spacing w:after="0"/>
      </w:pPr>
      <w:r>
        <w:rPr>
          <w:sz w:val="20"/>
          <w:szCs w:val="20"/>
        </w:rPr>
        <w:t xml:space="preserve">&lt; 10 µg/m³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NCS 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6502-B, 4005-R80B, 7005-R80B, 2002-B, 2060-Y50R, 7502-B, 2040-G70Y, 2002-Y50R, 2005-Y50R, 5030-R90B, 5005-Y20R, 4005-Y50R, 4502-B, 4500-N, 1002-Y50R, 2005-R80B, 3060-Y80R, 8000-N, 7005-Y50R, 2005-Y30R, 5005-Y50R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7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Gerflor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2025-10-01T22:18:40+02:00</dcterms:created>
  <dcterms:modified xsi:type="dcterms:W3CDTF">2025-10-01T22:18:40+02:00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