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DLW UNI WALTON 2.5 MM - Bahnen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7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23, Klasse 34, Klasse 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blau, dunkelbraun, dunkelgrau, grau, grün, hellbeige, hellgrau, orange,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einfarbig, 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Linoleum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20.000,00 - 31.000,00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Öle und Fette, gegen Zigarettenglut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Cfl-s1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Herstellerangabe, haushaltschemikalienbeständig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4,80 - 59,60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Wärmedurchlasswiderstand (m²*K/W)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0010, 0035, 0043, 0058, 0059, 0060, 0062, 0080, 0081, 0082, 0083, 0085, 0088, 0090, 0095, 0100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besteht aus 98 % natürlichen Rohstoffen, von denen 76 % schnell nachwachsend sind, ist 100 % recycelbar und besteht aus bis zu 40 % Recyclingmaterial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Neocare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FloorScore®, Blauer Engel, M1, Nordic Ecolabel (Swan), Cradle to Cradle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Frei von Schwermetallen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NCS 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7020-Y60R, 6005-Y20R, 3060-Y70R, 1515-Y30R, 5040-R80B, 5502-R, 8005-B80G, 4502-R, 7500-N, 5040-Y80R, 8505-R80B, 2070-Y90R, 1502-Y50R, 4005-Y20R, 5020-Y, 3030-B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Weichmacherfrei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Antibakterielle Aktivität (E. coli – S. aureus – MRSA)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99 % wachstumshemmend nach 24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Antivirale Aktivität (Humanes Coronavirus 229E) </w:t>
      </w:r>
    </w:p>
    <w:p>
      <w:pPr>
        <w:keepLines w:val="1"/>
        <w:spacing w:after="0"/>
      </w:pPr>
      <w:r>
        <w:rPr>
          <w:sz w:val="20"/>
          <w:szCs w:val="20"/>
        </w:rPr>
        <w:t xml:space="preserve">98,65 % antivirale Aktivität nach 5 Std.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Standortisolation</w:t>
      </w:r>
    </w:p>
    <w:p>
      <w:pPr>
        <w:keepLines w:val="1"/>
        <w:spacing w:after="0"/>
      </w:pPr>
      <w:r>
        <w:rPr>
          <w:sz w:val="20"/>
          <w:szCs w:val="20"/>
        </w:rPr>
        <w:t xml:space="preserve">&gt; 200 kΩ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Jutegewebe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2025-09-19T10:31:49+02:00</dcterms:created>
  <dcterms:modified xsi:type="dcterms:W3CDTF">2025-09-19T10:31:49+02:00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