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DLW UNI WALTON 2.5 MM - FROST GREY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248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3475710611414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R8140059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23, Klasse 34, Klasse 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hellgrau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einfarbig, 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Linoleum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20.000,00 - 31.000,00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vollflächig 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Beständigkeit 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gegen Öle und Fette, gegen Zigarettenglut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Cfl-s1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59,60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Wärmedurchlasswiderstand (m²*K/W)</w:t>
      </w:r>
    </w:p>
    <w:p>
      <w:pPr>
        <w:keepLines w:val="1"/>
        <w:spacing w:after="0"/>
      </w:pPr>
      <w:r>
        <w:rPr>
          <w:sz w:val="20"/>
          <w:szCs w:val="20"/>
        </w:rPr>
        <w:t xml:space="preserve">0,02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0,17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0059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besteht aus 98 % natürlichen Rohstoffen, von denen 76 % schnell nachwachsend sind, ist 100 % recycelbar und besteht aus bis zu 40 % Recyclingmaterial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Neocare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FloorScore®, Blauer Engel, M1, Nordic Ecolabel (Swan), Cradle to Cradle 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Frei von Schwermetallen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Antibakterielle Aktivität (E. coli – S. aureus – MRSA)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99 % wachstumshemmend nach 24 Std.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Antivirale Aktivität (Humanes Coronavirus 229E) </w:t>
      </w:r>
    </w:p>
    <w:p>
      <w:pPr>
        <w:keepLines w:val="1"/>
        <w:spacing w:after="0"/>
      </w:pPr>
      <w:r>
        <w:rPr>
          <w:sz w:val="20"/>
          <w:szCs w:val="20"/>
        </w:rPr>
        <w:t xml:space="preserve">98,65 % antivirale Aktivität nach 5 Std.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NCS 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1502-Y50R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Weichmacherfrei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Standortisolation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200 kΩ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Unterschicht</w:t>
      </w:r>
    </w:p>
    <w:p>
      <w:pPr>
        <w:keepLines w:val="1"/>
        <w:spacing w:after="0"/>
      </w:pPr>
      <w:r>
        <w:rPr>
          <w:sz w:val="20"/>
          <w:szCs w:val="20"/>
        </w:rPr>
        <w:t xml:space="preserve">Jutegewebe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2025-10-07T23:05:15+02:00</dcterms:created>
  <dcterms:modified xsi:type="dcterms:W3CDTF">2025-10-07T23:05:15+02:00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