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Getzner Werkstoffe Isotop® SE-DE</w:t>
      </w:r>
    </w:p>
    <w:p>
      <w:pPr/>
      <w:r>
        <w:rPr/>
        <w:t xml:space="preserve">Getzner Werkstoffe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Kunststoff, 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149,00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Frequenz (Hz)</w:t>
      </w:r>
    </w:p>
    <w:p>
      <w:pPr>
        <w:keepLines w:val="1"/>
        <w:spacing w:after="0"/>
      </w:pPr>
      <w:r>
        <w:rPr>
          <w:sz w:val="20"/>
          <w:szCs w:val="20"/>
        </w:rPr>
        <w:t xml:space="preserve">5,70 - 7,00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Belastung (N)</w:t>
      </w:r>
    </w:p>
    <w:p>
      <w:pPr>
        <w:keepLines w:val="1"/>
        <w:spacing w:after="0"/>
      </w:pPr>
      <w:r>
        <w:rPr>
          <w:sz w:val="20"/>
          <w:szCs w:val="20"/>
        </w:rPr>
        <w:t xml:space="preserve">1.030,00 - 27.860,00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Getzner Werkstoffe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2025-10-08T02:52:47+02:00</dcterms:created>
  <dcterms:modified xsi:type="dcterms:W3CDTF">2025-10-08T02:52:47+02:00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