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Tairmo Ganzglas mit elektr. Antrieb EA-L</w:t>
      </w:r>
    </w:p>
    <w:p>
      <w:pPr/>
      <w:r>
        <w:rPr/>
        <w:t xml:space="preserve">HAHN Lamellenfenster</w:t>
      </w:r>
    </w:p>
    <w:p/>
    <w:p>
      <w:pPr/>
      <w:r>
        <w:pict>
          <v:shape type="#_x0000_t75" stroked="f" style="width:180pt; height:256,42458100559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Bauteil, Ausbau</w:t>
      </w:r>
    </w:p>
    <w:p>
      <w:pPr>
        <w:keepLines w:val="1"/>
        <w:spacing w:after="0"/>
      </w:pPr>
      <w:r>
        <w:rPr>
          <w:sz w:val="20"/>
          <w:szCs w:val="20"/>
        </w:rPr>
        <w:t xml:space="preserve">Fenster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anodisiert / eloxiert, 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Verglasung</w:t>
      </w:r>
    </w:p>
    <w:p>
      <w:pPr>
        <w:keepLines w:val="1"/>
        <w:spacing w:after="0"/>
      </w:pPr>
      <w:r>
        <w:rPr>
          <w:sz w:val="20"/>
          <w:szCs w:val="20"/>
        </w:rPr>
        <w:t xml:space="preserve">Dreifachverglasung, Einscheibensicherheitsglas ESG, Floatglas, Isolierverglasung, Sicherheitsverglasung VSG, TVG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250,00 - 2.500,00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thermische Trennung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thermisch getrennt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Bedienung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elektrisch betrieben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Klasse Luftdurchlässigkeit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3 (600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Schlagregendichtheitsklasse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7 A (300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Windlastklasse</w:t>
      </w:r>
    </w:p>
    <w:p>
      <w:pPr>
        <w:keepLines w:val="1"/>
        <w:spacing w:after="0"/>
      </w:pPr>
      <w:r>
        <w:rPr>
          <w:sz w:val="20"/>
          <w:szCs w:val="20"/>
        </w:rPr>
        <w:t xml:space="preserve">4 (1600 Pa)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Zertifizierung</w:t>
      </w:r>
    </w:p>
    <w:p>
      <w:pPr>
        <w:keepLines w:val="1"/>
        <w:spacing w:after="0"/>
      </w:pPr>
      <w:r>
        <w:rPr>
          <w:sz w:val="20"/>
          <w:szCs w:val="20"/>
        </w:rPr>
        <w:t xml:space="preserve">NRWG, RWA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Verglasung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0,00 - 89,00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Uw-Wert (W/(m²K))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0,90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Elementrahmen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AL-Profile, thermisch getrennt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Lamellenrahmen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AL-Profile, thermisch getrennt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Elementhöhe</w:t>
      </w:r>
    </w:p>
    <w:p>
      <w:pPr>
        <w:keepLines w:val="1"/>
        <w:spacing w:after="0"/>
      </w:pPr>
      <w:r>
        <w:rPr>
          <w:sz w:val="20"/>
          <w:szCs w:val="20"/>
        </w:rPr>
        <w:t xml:space="preserve">min. 290 mm, Höhe ist nicht begrenzt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Standard Glasaufbau</w:t>
      </w:r>
    </w:p>
    <w:p>
      <w:pPr>
        <w:keepLines w:val="1"/>
        <w:spacing w:after="0"/>
      </w:pPr>
      <w:r>
        <w:rPr>
          <w:sz w:val="20"/>
          <w:szCs w:val="20"/>
        </w:rPr>
        <w:t xml:space="preserve">6 / 16 / 6 / 16 / 8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Alternative Füllungen</w:t>
      </w:r>
    </w:p>
    <w:p>
      <w:pPr>
        <w:keepLines w:val="1"/>
        <w:spacing w:after="0"/>
      </w:pPr>
      <w:r>
        <w:rPr>
          <w:sz w:val="20"/>
          <w:szCs w:val="20"/>
        </w:rPr>
        <w:t xml:space="preserve">Verbund-Paneele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 Rauch und Wärmeabzug</w:t>
      </w:r>
    </w:p>
    <w:p>
      <w:pPr>
        <w:keepLines w:val="1"/>
        <w:spacing w:after="0"/>
      </w:pPr>
      <w:r>
        <w:rPr>
          <w:sz w:val="20"/>
          <w:szCs w:val="20"/>
        </w:rPr>
        <w:t xml:space="preserve">NRWG Lamellenfenster sind gesondert zu bestellen. Bitte weisen Sie in Ihrer Anfrage oder Bestellung ausdrücklich darauf hin.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Aerodynamischer Beiwert Cv</w:t>
      </w:r>
    </w:p>
    <w:p>
      <w:pPr>
        <w:keepLines w:val="1"/>
        <w:spacing w:after="0"/>
      </w:pPr>
      <w:r>
        <w:rPr>
          <w:sz w:val="20"/>
          <w:szCs w:val="20"/>
        </w:rPr>
        <w:t xml:space="preserve">0,56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30.10.2025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HAHN Lamellenfenster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2025-10-30T00:14:38+01:00</dcterms:created>
  <dcterms:modified xsi:type="dcterms:W3CDTF">2025-10-30T00:14:38+01:00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