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Hanno®-Folienband DUO</w:t>
      </w:r>
    </w:p>
    <w:p>
      <w:pPr/>
      <w:r>
        <w:rPr/>
        <w:t xml:space="preserve">HANNO</w:t>
      </w:r>
    </w:p>
    <w:p/>
    <w:p>
      <w:pPr/>
      <w:r>
        <w:pict>
          <v:shape type="#_x0000_t75" stroked="f" style="width:180pt; height:194,2981501632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(PA), Polyethersulfon (PES),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Selbstklebestreifen mit Folienabdeckung, RAL-konform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Emissionen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EMICODE® EC1Plus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Feuchtevariabel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Fugendurchlasskoeffizient DIN EN 12114</w:t>
      </w:r>
    </w:p>
    <w:p>
      <w:pPr>
        <w:keepLines w:val="1"/>
        <w:spacing w:after="0"/>
      </w:pPr>
      <w:r>
        <w:rPr>
          <w:sz w:val="20"/>
          <w:szCs w:val="20"/>
        </w:rPr>
        <w:t xml:space="preserve">an ≤ 0.1 (m³ / h m dPa)⅔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Kartons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Rollen pro 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2, 4, 5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Schlagregensicherheit nach EN 1027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1050 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Selbstklebestreifen, Butylstreifen einseitig, Butylstreifen wechselseitig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Werkstoffe</w:t>
      </w:r>
    </w:p>
    <w:p>
      <w:pPr>
        <w:keepLines w:val="1"/>
        <w:spacing w:after="0"/>
      </w:pPr>
      <w:r>
        <w:rPr>
          <w:sz w:val="20"/>
          <w:szCs w:val="20"/>
        </w:rPr>
        <w:t xml:space="preserve">PET-Vlies und PA-Folie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Widerstand gegen Wasserdurchgang Folie</w:t>
      </w:r>
    </w:p>
    <w:p>
      <w:pPr>
        <w:keepLines w:val="1"/>
        <w:spacing w:after="0"/>
      </w:pPr>
      <w:r>
        <w:rPr>
          <w:sz w:val="20"/>
          <w:szCs w:val="20"/>
        </w:rPr>
        <w:t xml:space="preserve">W1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Zulässige Gesamtverformung</w:t>
      </w:r>
    </w:p>
    <w:p>
      <w:pPr>
        <w:keepLines w:val="1"/>
        <w:spacing w:after="0"/>
      </w:pPr>
      <w:r>
        <w:rPr>
          <w:sz w:val="20"/>
          <w:szCs w:val="20"/>
        </w:rPr>
        <w:t xml:space="preserve">0%, ergibt sich aus Schlaufen-/Bewegungsreserve, die bei der Montage vorzusehen ist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Überputzbar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Überstreichbar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2025-10-07T22:50:46+02:00</dcterms:created>
  <dcterms:modified xsi:type="dcterms:W3CDTF">2025-10-07T22:50:46+02:00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