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FI-D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Polyethersulfon (PES), Polyethylen (PE),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Äquivalente Luftschichtdicke</w:t>
      </w:r>
    </w:p>
    <w:p>
      <w:pPr>
        <w:keepLines w:val="1"/>
        <w:spacing w:after="0"/>
      </w:pPr>
      <w:r>
        <w:rPr>
          <w:sz w:val="20"/>
          <w:szCs w:val="20"/>
        </w:rPr>
        <w:t xml:space="preserve">50 - 100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3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md 23% / cd 134%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</w:t>
      </w:r>
    </w:p>
    <w:p>
      <w:pPr>
        <w:keepLines w:val="1"/>
        <w:spacing w:after="0"/>
      </w:pPr>
      <w:r>
        <w:rPr>
          <w:sz w:val="20"/>
          <w:szCs w:val="20"/>
        </w:rPr>
        <w:t xml:space="preserve">md 304 N/5cm / cd 50 N/5cm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1, 2, 4, 5, 8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Selbstklebestreifen, Butylstreifen einseitig, Butylstreifen wechselseitig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3000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5-lagige diffusionsoffene Folien-Vlies-Kombination, PES-HSK-PE-HSK-PES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5%,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luftdicht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-40 - 80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2025-09-28T01:19:21+02:00</dcterms:created>
  <dcterms:modified xsi:type="dcterms:W3CDTF">2025-09-28T01:19:21+02:00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