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Hannoband®-BG1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87,898448519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10/1.5–2.5, 20/1.5–2.5, 25/10–18, 15/3–7, 20/3–7, 20/2–4, 10/5–10, 20/10–18, 15/1.5–2.5, 30/7–12, 30/8–15, 15/2–4, 30/5–10, 20/8–15, 15/7–12, 10/3–7, 15/5–10, 20/7–12, 10/2–4, 20/5–10, 25/8–15, 30/10–18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anstrichverträglich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1 (m³/h m dPa)⅔, an ≤ 0.1 (m³/h m dPa)⅔ für die Nennfuge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Fugenschalldämmmaß RS,ω</w:t>
      </w:r>
    </w:p>
    <w:p>
      <w:pPr>
        <w:keepLines w:val="1"/>
        <w:spacing w:after="0"/>
      </w:pPr>
      <w:r>
        <w:rPr>
          <w:sz w:val="20"/>
          <w:szCs w:val="20"/>
        </w:rPr>
        <w:t xml:space="preserve">42 dB (ein Dichtungsband ohne Dämmung und 2. Dichtebene), 59 dB (zwei Dichtungsbänder ohne Wärmedämmschicht)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Fugenschalldämmmaß RST,W</w:t>
      </w:r>
    </w:p>
    <w:p>
      <w:pPr>
        <w:keepLines w:val="1"/>
        <w:spacing w:after="0"/>
      </w:pPr>
      <w:r>
        <w:rPr>
          <w:sz w:val="20"/>
          <w:szCs w:val="20"/>
        </w:rPr>
        <w:t xml:space="preserve">59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10, 12, 15, 20, 30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kurzzeitig in °C</w:t>
      </w:r>
    </w:p>
    <w:p>
      <w:pPr>
        <w:keepLines w:val="1"/>
        <w:spacing w:after="0"/>
      </w:pPr>
      <w:r>
        <w:rPr>
          <w:sz w:val="20"/>
          <w:szCs w:val="20"/>
        </w:rPr>
        <w:t xml:space="preserve">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angrenzenden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Äquivalente Luftschichtdicke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0,5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2025-09-28T00:52:17+02:00</dcterms:created>
  <dcterms:modified xsi:type="dcterms:W3CDTF">2025-09-28T00:52:17+02:00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