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Heras Lärmschutzwand KOKO WALL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3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Zaun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Dichtzaun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braun, 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Acrylnitril-Butadien-Styrol-Copolymerisat (ABS), Kokosfasern,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2.000,00 - 6.000,00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0,00 - 3.960,00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150,00 - 250,00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einbetoniert, schrauben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Oberflächenbehandlung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2 (800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Befestigungspunkte</w:t>
      </w:r>
    </w:p>
    <w:p>
      <w:pPr>
        <w:keepLines w:val="1"/>
        <w:spacing w:after="0"/>
      </w:pPr>
      <w:r>
        <w:rPr>
          <w:sz w:val="20"/>
          <w:szCs w:val="20"/>
        </w:rPr>
        <w:t xml:space="preserve">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Element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0,00 - 2.200,00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2.500,00 - 4.000,00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Querschnitt  Pfosten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Schallabsorptionsgrad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Schalldämmmaß (dB)</w:t>
      </w:r>
    </w:p>
    <w:p>
      <w:pPr>
        <w:keepLines w:val="1"/>
        <w:spacing w:after="0"/>
      </w:pPr>
      <w:r>
        <w:rPr>
          <w:sz w:val="20"/>
          <w:szCs w:val="20"/>
        </w:rPr>
        <w:t xml:space="preserve">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Stabdurchmesser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Anwendungsgebiete</w:t>
      </w:r>
    </w:p>
    <w:p>
      <w:pPr>
        <w:keepLines w:val="1"/>
        <w:spacing w:after="0"/>
      </w:pPr>
      <w:r>
        <w:rPr>
          <w:sz w:val="20"/>
          <w:szCs w:val="20"/>
        </w:rPr>
        <w:t xml:space="preserve">gewerblich, kommunal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Begrünung erforderlich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Brandsicherheit gemäß NEN 6065</w:t>
      </w:r>
    </w:p>
    <w:p>
      <w:pPr>
        <w:keepLines w:val="1"/>
        <w:spacing w:after="0"/>
      </w:pPr>
      <w:r>
        <w:rPr>
          <w:sz w:val="20"/>
          <w:szCs w:val="20"/>
        </w:rPr>
        <w:t xml:space="preserve">Flammhemmungsklasse 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Schallgruppe nach DIN EN 1793</w:t>
      </w:r>
    </w:p>
    <w:p>
      <w:pPr>
        <w:keepLines w:val="1"/>
        <w:spacing w:after="0"/>
      </w:pPr>
      <w:r>
        <w:rPr>
          <w:sz w:val="20"/>
          <w:szCs w:val="20"/>
        </w:rPr>
        <w:t xml:space="preserve">Schalldämmung gemäß Gruppe B3 (DIN EN 1793-2), Schallabsorption gemäß Gruppe A2 (DIN EN 1793-1)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2025-10-03T22:55:11+02:00</dcterms:created>
  <dcterms:modified xsi:type="dcterms:W3CDTF">2025-10-03T22:55:11+02:00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