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Heras Lärmschutzwand Noise Reducer</w:t>
      </w:r>
    </w:p>
    <w:p>
      <w:pPr/>
      <w:r>
        <w:rPr/>
        <w:t xml:space="preserve">Heras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Zaun</w:t>
      </w:r>
    </w:p>
    <w:p>
      <w:pPr>
        <w:keepLines w:val="1"/>
        <w:spacing w:after="0"/>
      </w:pPr>
      <w:r>
        <w:rPr>
          <w:sz w:val="20"/>
          <w:szCs w:val="20"/>
        </w:rPr>
        <w:t xml:space="preserve">Dichtzaun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dunkelgrün,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horizontal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beschichtet, 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Mineralwolle, Polyethylen (PE), Polyethylen (PE-HD),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1.000,00 - 3.000,00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990,00 - 2.490,00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einbetoniert, schrauben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Oberflächenbehandlung Rahmen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Profil, Rahmen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Windlastklasse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2 (800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Element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1.000,00 - 2.000,00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Pfosten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1.000,00 - 3.000,00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Mittenabstand Pfosten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  Pfosten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2,00 - 45,00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Schallabsorptionsgrad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Schalldämmmaß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Anwendungsgebiete</w:t>
      </w:r>
    </w:p>
    <w:p>
      <w:pPr>
        <w:keepLines w:val="1"/>
        <w:spacing w:after="0"/>
      </w:pPr>
      <w:r>
        <w:rPr>
          <w:sz w:val="20"/>
          <w:szCs w:val="20"/>
        </w:rPr>
        <w:t xml:space="preserve">gewerblich, kommunal, privat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Begrünung erforderlich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RAL 6007 (Flaschengrün), RAL 7016 (Anthrazitgrau)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Schallgruppe nach DIN EN 1793</w:t>
      </w:r>
    </w:p>
    <w:p>
      <w:pPr>
        <w:keepLines w:val="1"/>
        <w:spacing w:after="0"/>
      </w:pPr>
      <w:r>
        <w:rPr>
          <w:sz w:val="20"/>
          <w:szCs w:val="20"/>
        </w:rPr>
        <w:t xml:space="preserve">Schalldämmung gemäß Gruppe B3 (DIN EN 1793-2), Schallabsorption gemäß Gruppe A2 (DIN EN 1793-1)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Empfohlenes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Spezial-Lärmschutztüren, Pflanzkrampen (für spätere Bepflanzung)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Heras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2025-11-06T20:34:41+01:00</dcterms:created>
  <dcterms:modified xsi:type="dcterms:W3CDTF">2025-11-06T20:34:41+01:00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