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KANN Uni-Coloc® Aqua</w:t>
      </w:r>
    </w:p>
    <w:p>
      <w:pPr/>
      <w:r>
        <w:rPr/>
        <w:t xml:space="preserve">KANN  Baustoffwerke</w:t>
      </w:r>
    </w:p>
    <w:p/>
    <w:p>
      <w:pPr/>
      <w:r>
        <w:pict>
          <v:shape type="#_x0000_t75" stroked="f" style="width:180pt; height:115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Pflaster</w:t>
      </w:r>
    </w:p>
    <w:p>
      <w:pPr>
        <w:keepLines w:val="1"/>
        <w:spacing w:after="0"/>
      </w:pPr>
      <w:r>
        <w:rPr>
          <w:sz w:val="20"/>
          <w:szCs w:val="20"/>
        </w:rPr>
        <w:t xml:space="preserve">Normalstein / Flächenstein, Quadratstein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Pflaster</w:t>
      </w:r>
    </w:p>
    <w:p>
      <w:pPr>
        <w:keepLines w:val="1"/>
        <w:spacing w:after="0"/>
      </w:pPr>
      <w:r>
        <w:rPr>
          <w:sz w:val="20"/>
          <w:szCs w:val="20"/>
        </w:rPr>
        <w:t xml:space="preserve">Ökopflaster (wasserdurchlässig)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befahrbar, 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80,00 - 100,00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tausalzbeständig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172,00 - 215,00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Erfüllt Richtlinie</w:t>
      </w:r>
    </w:p>
    <w:p>
      <w:pPr>
        <w:keepLines w:val="1"/>
        <w:spacing w:after="0"/>
      </w:pPr>
      <w:r>
        <w:rPr>
          <w:sz w:val="20"/>
          <w:szCs w:val="20"/>
        </w:rPr>
        <w:t xml:space="preserve">EN 1338 DI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Geschlossene Verlegeeinheit (keine Füllsteine nötig), Maschinell verlegbar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Versickerung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Sickerfuge: 5 mm, Sickerfugenanteil: ca. 4,4%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KANN  Baustoffwerke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2025-10-03T22:26:16+02:00</dcterms:created>
  <dcterms:modified xsi:type="dcterms:W3CDTF">2025-10-03T22:26:16+02:00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