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MultiStufe Kontrast 40/15/25-200 anthrazit feingestrahlt</w:t>
      </w:r>
    </w:p>
    <w:p>
      <w:pPr/>
      <w:r>
        <w:rPr/>
        <w:t xml:space="preserve">KANN  Baustoffwerke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4024991849840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715106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feingestrahlt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Blockstufe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Stufenbreite (m)</w:t>
      </w:r>
    </w:p>
    <w:p>
      <w:pPr>
        <w:keepLines w:val="1"/>
        <w:spacing w:after="0"/>
      </w:pPr>
      <w:r>
        <w:rPr>
          <w:sz w:val="20"/>
          <w:szCs w:val="20"/>
        </w:rPr>
        <w:t xml:space="preserve">0,40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tausalzbeständig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gefast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Stufenhöhe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Stufenlänge (m)</w:t>
      </w:r>
    </w:p>
    <w:p>
      <w:pPr>
        <w:keepLines w:val="1"/>
        <w:spacing w:after="0"/>
      </w:pPr>
      <w:r>
        <w:rPr>
          <w:sz w:val="20"/>
          <w:szCs w:val="20"/>
        </w:rPr>
        <w:t xml:space="preserve">0,25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Erfüllt Richtlinie</w:t>
      </w:r>
    </w:p>
    <w:p>
      <w:pPr>
        <w:keepLines w:val="1"/>
        <w:spacing w:after="0"/>
      </w:pPr>
      <w:r>
        <w:rPr>
          <w:sz w:val="20"/>
          <w:szCs w:val="20"/>
        </w:rPr>
        <w:t xml:space="preserve">RiBoN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Eigenschaften</w:t>
      </w:r>
    </w:p>
    <w:p>
      <w:pPr>
        <w:keepLines w:val="1"/>
        <w:spacing w:after="0"/>
      </w:pPr>
      <w:r>
        <w:rPr>
          <w:sz w:val="20"/>
          <w:szCs w:val="20"/>
        </w:rPr>
        <w:t xml:space="preserve">Stufe mit Kontraststreifen (Stufenkantenmarkierung) für Stufenlagen gemäß DIN 32984 und DIN 18040, Kontraststreifen mit Kontrastwert ≥ K 0,4 (weißer Kontraststreifen auf anthrazitfarbener Stufe)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15.09.2025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KANN  Baustoffwerke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2025-09-15T21:06:30+02:00</dcterms:created>
  <dcterms:modified xsi:type="dcterms:W3CDTF">2025-09-15T21:06:30+02:00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