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Rundbordstein RB 150x220 L:25cm Basaltbeton ausgewaschen</w:t>
      </w:r>
    </w:p>
    <w:p>
      <w:pPr/>
      <w:r>
        <w:rPr/>
        <w:t xml:space="preserve">KANN  Baustoffwerke</w:t>
      </w:r>
    </w:p>
    <w:p/>
    <w:p>
      <w:pPr/>
      <w:r>
        <w:pict>
          <v:shape type="#_x0000_t75" stroked="f" style="width:180pt; height:101,2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dunkelgrau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wassergestrahlt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Beton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150,00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220,00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250,00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Chemische Beständigkeit</w:t>
      </w:r>
    </w:p>
    <w:p>
      <w:pPr>
        <w:keepLines w:val="1"/>
        <w:spacing w:after="0"/>
      </w:pPr>
      <w:r>
        <w:rPr>
          <w:sz w:val="20"/>
          <w:szCs w:val="20"/>
        </w:rPr>
        <w:t xml:space="preserve">tausalzbeständig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Gewicht längenbezogen (kg/m)</w:t>
      </w:r>
    </w:p>
    <w:p>
      <w:pPr>
        <w:keepLines w:val="1"/>
        <w:spacing w:after="0"/>
      </w:pPr>
      <w:r>
        <w:rPr>
          <w:sz w:val="20"/>
          <w:szCs w:val="20"/>
        </w:rPr>
        <w:t xml:space="preserve">80,00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Erfüllt Richtlinie</w:t>
      </w:r>
    </w:p>
    <w:p>
      <w:pPr>
        <w:keepLines w:val="1"/>
        <w:spacing w:after="0"/>
      </w:pPr>
      <w:r>
        <w:rPr>
          <w:sz w:val="20"/>
          <w:szCs w:val="20"/>
        </w:rPr>
        <w:t xml:space="preserve">EN 1340 D I T; DIN 483 (2005-10)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Eigenschaften</w:t>
      </w:r>
    </w:p>
    <w:p>
      <w:pPr>
        <w:keepLines w:val="1"/>
        <w:spacing w:after="0"/>
      </w:pPr>
      <w:r>
        <w:rPr>
          <w:sz w:val="20"/>
          <w:szCs w:val="20"/>
        </w:rPr>
        <w:t xml:space="preserve">Rundbordsteine mit 5 cm Radius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01.11.2025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52,083333333333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KANN  Baustoffwerke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2025-11-01T03:42:09+01:00</dcterms:created>
  <dcterms:modified xsi:type="dcterms:W3CDTF">2025-11-01T03:42:09+01:00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