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KESSEL-Fettabscheider EasyClean free NS 40</w:t>
      </w:r>
    </w:p>
    <w:p>
      <w:pPr/>
      <w:r>
        <w:rPr/>
        <w:t xml:space="preserve">KESSEL Entwässerungstechnik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Nenngröße</w:t>
      </w:r>
    </w:p>
    <w:p>
      <w:pPr>
        <w:keepLines w:val="1"/>
        <w:spacing w:after="0"/>
      </w:pPr>
      <w:r>
        <w:rPr>
          <w:sz w:val="20"/>
          <w:szCs w:val="20"/>
        </w:rPr>
        <w:t xml:space="preserve">NS 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Kunststoffschweißende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alle Anschlüsse</w:t>
      </w:r>
    </w:p>
    <w:p>
      <w:pPr>
        <w:keepLines w:val="1"/>
        <w:spacing w:after="0"/>
      </w:pPr>
      <w:r>
        <w:rPr>
          <w:sz w:val="20"/>
          <w:szCs w:val="20"/>
        </w:rPr>
        <w:t xml:space="preserve">DN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des Deckels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 (PE)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Anschlusshöhe Ablauf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Auffangkapazität Schlammfänger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Durchlassfähigkeit (l/min)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Lagerkapazität Abscheider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(organische) Fette geeignet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KESSEL Entwässerungstechnik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2025-09-27T23:30:37+02:00</dcterms:created>
  <dcterms:modified xsi:type="dcterms:W3CDTF">2025-09-27T23:30:37+02:00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