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Küberit Abschlussprofile 587</w:t>
      </w:r>
    </w:p>
    <w:p>
      <w:pPr/>
      <w:r>
        <w:rPr/>
        <w:t xml:space="preserve">Küberit Profile Systems</w:t>
      </w:r>
    </w:p>
    <w:p/>
    <w:p>
      <w:pPr/>
      <w:r>
        <w:pict>
          <v:shape type="#_x0000_t75" stroked="f" style="width:180pt; height:193,125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Dekor</w:t>
      </w:r>
    </w:p>
    <w:p>
      <w:pPr>
        <w:keepLines w:val="1"/>
        <w:spacing w:after="0"/>
      </w:pPr>
      <w:r>
        <w:rPr>
          <w:sz w:val="20"/>
          <w:szCs w:val="20"/>
        </w:rPr>
        <w:t xml:space="preserve">Ahorn, Buche, Eiche, Merbau, Nussbaum, Tigua, Wenge</w:t>
      </w:r>
    </w:p>
    <w:p>
      <w:pPr>
        <w:keepNext w:val="1"/>
        <w:keepLines w:val="1"/>
        <w:spacing w:before="120" w:after="0"/>
      </w:pPr>
      <w:r>
        <w:rPr>
          <w:color w:val="6a6f75"/>
          <w:sz w:val="20"/>
          <w:szCs w:val="20"/>
        </w:rPr>
        <w:t xml:space="preserve">Farbton</w:t>
      </w:r>
    </w:p>
    <w:p>
      <w:pPr>
        <w:keepLines w:val="1"/>
        <w:spacing w:after="0"/>
      </w:pPr>
      <w:r>
        <w:rPr>
          <w:sz w:val="20"/>
          <w:szCs w:val="20"/>
        </w:rPr>
        <w:t xml:space="preserve">beige, bronze, dunkelbraun, hellbraun, silber, weiß</w:t>
      </w:r>
    </w:p>
    <w:p>
      <w:pPr>
        <w:keepNext w:val="1"/>
        <w:keepLines w:val="1"/>
        <w:spacing w:before="120" w:after="0"/>
      </w:pPr>
      <w:r>
        <w:rPr>
          <w:color w:val="6a6f75"/>
          <w:sz w:val="20"/>
          <w:szCs w:val="20"/>
        </w:rPr>
        <w:t xml:space="preserve">Oberfläche</w:t>
      </w:r>
    </w:p>
    <w:p>
      <w:pPr>
        <w:keepLines w:val="1"/>
        <w:spacing w:after="0"/>
      </w:pPr>
      <w:r>
        <w:rPr>
          <w:sz w:val="20"/>
          <w:szCs w:val="20"/>
        </w:rPr>
        <w:t xml:space="preserve">Dekor, eloxiert</w:t>
      </w:r>
    </w:p>
    <w:p>
      <w:pPr>
        <w:keepNext w:val="1"/>
        <w:keepLines w:val="1"/>
        <w:spacing w:before="120" w:after="0"/>
      </w:pPr>
      <w:r>
        <w:rPr>
          <w:color w:val="6a6f75"/>
          <w:sz w:val="20"/>
          <w:szCs w:val="20"/>
        </w:rPr>
        <w:t xml:space="preserve">Profilart</w:t>
      </w:r>
    </w:p>
    <w:p>
      <w:pPr>
        <w:keepLines w:val="1"/>
        <w:spacing w:after="0"/>
      </w:pPr>
      <w:r>
        <w:rPr>
          <w:sz w:val="20"/>
          <w:szCs w:val="20"/>
        </w:rPr>
        <w:t xml:space="preserve">Abschlussprofil</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32,00</w:t>
      </w:r>
    </w:p>
    <w:p>
      <w:pPr>
        <w:keepNext w:val="1"/>
        <w:keepLines w:val="1"/>
        <w:spacing w:before="120" w:after="0"/>
      </w:pPr>
      <w:r>
        <w:rPr>
          <w:color w:val="6a6f75"/>
          <w:sz w:val="20"/>
          <w:szCs w:val="20"/>
        </w:rPr>
        <w:t xml:space="preserve">Dicke  Bodenbelag (mm)</w:t>
      </w:r>
    </w:p>
    <w:p>
      <w:pPr>
        <w:keepLines w:val="1"/>
        <w:spacing w:after="0"/>
      </w:pPr>
      <w:r>
        <w:rPr>
          <w:sz w:val="20"/>
          <w:szCs w:val="20"/>
        </w:rPr>
        <w:t xml:space="preserve">10,00 - 16,00</w:t>
      </w:r>
    </w:p>
    <w:p>
      <w:pPr>
        <w:keepNext w:val="1"/>
        <w:keepLines w:val="1"/>
        <w:spacing w:before="120" w:after="0"/>
      </w:pPr>
      <w:r>
        <w:rPr>
          <w:color w:val="6a6f75"/>
          <w:sz w:val="20"/>
          <w:szCs w:val="20"/>
        </w:rPr>
        <w:t xml:space="preserve">Höhe (mm)</w:t>
      </w:r>
    </w:p>
    <w:p>
      <w:pPr>
        <w:keepLines w:val="1"/>
        <w:spacing w:after="0"/>
      </w:pPr>
      <w:r>
        <w:rPr>
          <w:sz w:val="20"/>
          <w:szCs w:val="20"/>
        </w:rPr>
        <w:t xml:space="preserve">32,00</w:t>
      </w:r>
    </w:p>
    <w:p>
      <w:pPr>
        <w:keepNext w:val="1"/>
        <w:keepLines w:val="1"/>
        <w:spacing w:before="120" w:after="0"/>
      </w:pPr>
      <w:r>
        <w:rPr>
          <w:color w:val="6a6f75"/>
          <w:sz w:val="20"/>
          <w:szCs w:val="20"/>
        </w:rPr>
        <w:t xml:space="preserve">Länge (mm)</w:t>
      </w:r>
    </w:p>
    <w:p>
      <w:pPr>
        <w:keepLines w:val="1"/>
        <w:spacing w:after="0"/>
      </w:pPr>
      <w:r>
        <w:rPr>
          <w:sz w:val="20"/>
          <w:szCs w:val="20"/>
        </w:rPr>
        <w:t xml:space="preserve">900,00 - 3.000,00</w:t>
      </w:r>
    </w:p>
    <w:p>
      <w:pPr>
        <w:keepNext w:val="1"/>
        <w:keepLines w:val="1"/>
        <w:spacing w:before="120" w:after="0"/>
      </w:pPr>
      <w:r>
        <w:rPr>
          <w:color w:val="6a6f75"/>
          <w:sz w:val="20"/>
          <w:szCs w:val="20"/>
        </w:rPr>
        <w:t xml:space="preserve">Befestigung</w:t>
      </w:r>
    </w:p>
    <w:p>
      <w:pPr>
        <w:keepLines w:val="1"/>
        <w:spacing w:after="0"/>
      </w:pPr>
      <w:r>
        <w:rPr>
          <w:sz w:val="20"/>
          <w:szCs w:val="20"/>
        </w:rPr>
        <w:t xml:space="preserve">selbstklebend</w:t>
      </w:r>
    </w:p>
    <w:p>
      <w:pPr>
        <w:keepNext w:val="1"/>
        <w:keepLines w:val="1"/>
        <w:spacing w:before="120" w:after="0"/>
      </w:pPr>
      <w:r>
        <w:rPr>
          <w:color w:val="6a6f75"/>
          <w:sz w:val="20"/>
          <w:szCs w:val="20"/>
        </w:rPr>
        <w:t xml:space="preserve">Brandverhalten</w:t>
      </w:r>
    </w:p>
    <w:p>
      <w:pPr>
        <w:keepLines w:val="1"/>
        <w:spacing w:after="0"/>
      </w:pPr>
      <w:r>
        <w:rPr>
          <w:sz w:val="20"/>
          <w:szCs w:val="20"/>
        </w:rPr>
        <w:t xml:space="preserve">A1</w:t>
      </w:r>
    </w:p>
    <w:p>
      <w:pPr>
        <w:keepNext w:val="1"/>
        <w:keepLines w:val="1"/>
        <w:spacing w:before="120" w:after="0"/>
      </w:pPr>
      <w:r>
        <w:rPr>
          <w:color w:val="6a6f75"/>
          <w:sz w:val="20"/>
          <w:szCs w:val="20"/>
        </w:rPr>
        <w:t xml:space="preserve">Fugenbreite (mm)</w:t>
      </w:r>
    </w:p>
    <w:p>
      <w:pPr>
        <w:keepLines w:val="1"/>
        <w:spacing w:after="0"/>
      </w:pPr>
      <w:r>
        <w:rPr>
          <w:sz w:val="20"/>
          <w:szCs w:val="20"/>
        </w:rPr>
        <w:t xml:space="preserve">14,00</w:t>
      </w:r>
    </w:p>
    <w:p>
      <w:pPr>
        <w:keepNext w:val="1"/>
        <w:keepLines w:val="1"/>
        <w:spacing w:before="120" w:after="0"/>
      </w:pPr>
      <w:r>
        <w:rPr>
          <w:color w:val="6a6f75"/>
          <w:sz w:val="20"/>
          <w:szCs w:val="20"/>
        </w:rPr>
        <w:t xml:space="preserve">Farbtonbezeichnung Hersteller</w:t>
      </w:r>
    </w:p>
    <w:p>
      <w:pPr>
        <w:keepLines w:val="1"/>
        <w:spacing w:after="0"/>
      </w:pPr>
      <w:r>
        <w:rPr>
          <w:sz w:val="20"/>
          <w:szCs w:val="20"/>
        </w:rPr>
        <w:t xml:space="preserve">F9 sand, H30 Eiche hell, F4 silber, H20 Buche dunkel, H31 Eiche dunkel, H81 Nussbaum, H33 Eiche weiß gekalkt, H64 Eiche creme, H40 Ahorn, H80 Merbau, F2 edelstahloptik, H22 Buche hell, H63 Tigua, H95 Wenge, F6 bronze</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01.11.2025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97,5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Küberit Profile Systems</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2025-11-01T03:54:55+01:00</dcterms:created>
  <dcterms:modified xsi:type="dcterms:W3CDTF">2025-11-01T03:54:55+01:00</dcterms:modified>
</cp:coreProperties>
</file>

<file path=docProps/custom.xml><?xml version="1.0" encoding="utf-8"?>
<Properties xmlns="http://schemas.openxmlformats.org/officeDocument/2006/custom-properties" xmlns:vt="http://schemas.openxmlformats.org/officeDocument/2006/docPropsVTypes"/>
</file>