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Einfassprofile 382</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Eiche, Nussbaum</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braun, bronze, dunkelbraun, gold, grau, hellbraun, hellgrau, natur,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 unbehandelt</w:t>
      </w:r>
    </w:p>
    <w:p>
      <w:pPr>
        <w:keepNext w:val="1"/>
        <w:keepLines w:val="1"/>
        <w:spacing w:before="120" w:after="0"/>
      </w:pPr>
      <w:r>
        <w:rPr>
          <w:color w:val="6a6f75"/>
          <w:sz w:val="20"/>
          <w:szCs w:val="20"/>
        </w:rPr>
        <w:t xml:space="preserve">Profilart</w:t>
      </w:r>
    </w:p>
    <w:p>
      <w:pPr>
        <w:keepLines w:val="1"/>
        <w:spacing w:after="0"/>
      </w:pPr>
      <w:r>
        <w:rPr>
          <w:sz w:val="20"/>
          <w:szCs w:val="20"/>
        </w:rPr>
        <w:t xml:space="preserve">Einfassprofil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38,00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3,00 - 8,50</w:t>
      </w:r>
    </w:p>
    <w:p>
      <w:pPr>
        <w:keepNext w:val="1"/>
        <w:keepLines w:val="1"/>
        <w:spacing w:before="120" w:after="0"/>
      </w:pPr>
      <w:r>
        <w:rPr>
          <w:color w:val="6a6f75"/>
          <w:sz w:val="20"/>
          <w:szCs w:val="20"/>
        </w:rPr>
        <w:t xml:space="preserve">Höhe (mm)</w:t>
      </w:r>
    </w:p>
    <w:p>
      <w:pPr>
        <w:keepLines w:val="1"/>
        <w:spacing w:after="0"/>
      </w:pPr>
      <w:r>
        <w:rPr>
          <w:sz w:val="20"/>
          <w:szCs w:val="20"/>
        </w:rPr>
        <w:t xml:space="preserve">13,00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1.000,00 - 5.000,00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F6 bronze, F9 sand, H31 Eiche dunkel, F4 silber, H64 Eiche creme, H62 Eiche beige grau, H61 Eiche grau, H30 Eiche hell, H81 Nussbaum, F0 natur, H33 Eiche weiß gekalkt, H34 Landeiche, H65 Eiche hellgrau, F5 gold, F2 edelstahloptik</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19.10.2025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2025-10-19T06:10:59+02:00</dcterms:created>
  <dcterms:modified xsi:type="dcterms:W3CDTF">2025-10-19T06:10:59+02:00</dcterms:modified>
</cp:coreProperties>
</file>

<file path=docProps/custom.xml><?xml version="1.0" encoding="utf-8"?>
<Properties xmlns="http://schemas.openxmlformats.org/officeDocument/2006/custom-properties" xmlns:vt="http://schemas.openxmlformats.org/officeDocument/2006/docPropsVTypes"/>
</file>