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Übergangsprofile 578</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Eiche, Tigua</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bronze, dunkelbraun, gold, grau, hellbraun,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 geschliffen</w:t>
      </w:r>
    </w:p>
    <w:p>
      <w:pPr>
        <w:keepNext w:val="1"/>
        <w:keepLines w:val="1"/>
        <w:spacing w:before="120" w:after="0"/>
      </w:pPr>
      <w:r>
        <w:rPr>
          <w:color w:val="6a6f75"/>
          <w:sz w:val="20"/>
          <w:szCs w:val="20"/>
        </w:rPr>
        <w:t xml:space="preserve">Profilart</w:t>
      </w:r>
    </w:p>
    <w:p>
      <w:pPr>
        <w:keepLines w:val="1"/>
        <w:spacing w:after="0"/>
      </w:pPr>
      <w:r>
        <w:rPr>
          <w:sz w:val="20"/>
          <w:szCs w:val="20"/>
        </w:rPr>
        <w:t xml:space="preserve">Übergangsprofil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24,00</w:t>
      </w:r>
    </w:p>
    <w:p>
      <w:pPr>
        <w:keepNext w:val="1"/>
        <w:keepLines w:val="1"/>
        <w:spacing w:before="120" w:after="0"/>
      </w:pPr>
      <w:r>
        <w:rPr>
          <w:color w:val="6a6f75"/>
          <w:sz w:val="20"/>
          <w:szCs w:val="20"/>
        </w:rPr>
        <w:t xml:space="preserve">Dicke  Bodenbelag (mm)</w:t>
      </w:r>
    </w:p>
    <w:p>
      <w:pPr>
        <w:keepLines w:val="1"/>
        <w:spacing w:after="0"/>
      </w:pPr>
      <w:r>
        <w:rPr>
          <w:sz w:val="20"/>
          <w:szCs w:val="20"/>
        </w:rPr>
        <w:t xml:space="preserve">4,00 - 12,00</w:t>
      </w:r>
    </w:p>
    <w:p>
      <w:pPr>
        <w:keepNext w:val="1"/>
        <w:keepLines w:val="1"/>
        <w:spacing w:before="120" w:after="0"/>
      </w:pPr>
      <w:r>
        <w:rPr>
          <w:color w:val="6a6f75"/>
          <w:sz w:val="20"/>
          <w:szCs w:val="20"/>
        </w:rPr>
        <w:t xml:space="preserve">Höhe (mm)</w:t>
      </w:r>
    </w:p>
    <w:p>
      <w:pPr>
        <w:keepLines w:val="1"/>
        <w:spacing w:after="0"/>
      </w:pPr>
      <w:r>
        <w:rPr>
          <w:sz w:val="20"/>
          <w:szCs w:val="20"/>
        </w:rPr>
        <w:t xml:space="preserve">7,00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900,00 - 3.000,00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klicken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H63 Tigua, H62 Eiche beige grau, F2G edelstahloptik fein geschliffen, H30 Eiche hell, F6 bronze, F4 silber, F9 sand, H33 Eiche weiß gekalkt, F5 gold, H61 Eiche grau, H64 Eiche creme</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03.10.2025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2025-10-03T22:26:45+02:00</dcterms:created>
  <dcterms:modified xsi:type="dcterms:W3CDTF">2025-10-03T22:26:45+02:00</dcterms:modified>
</cp:coreProperties>
</file>

<file path=docProps/custom.xml><?xml version="1.0" encoding="utf-8"?>
<Properties xmlns="http://schemas.openxmlformats.org/officeDocument/2006/custom-properties" xmlns:vt="http://schemas.openxmlformats.org/officeDocument/2006/docPropsVTypes"/>
</file>