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Flachdach Fenster F100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Dachausstieg, 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opak / lichtundurchlässig, opal,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Festverglasung, 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Einscheibensicherheitsglas ESG, Floatglas, Isolierverglasung, Schallschutzglas, Sicherheitsverglasung VSG,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Glas, Glasfaserverstärkter Kunststoff (GFK), Hartschaum, Kunststoff, Polyurethan (PUR),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Funkstandard 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Amazon Alexa, ZigBee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 (150 Pa), 2 (300 Pa), 3 (600 Pa), 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Werkstoff/Konstruktion Aufsetzkranz</w:t>
      </w:r>
    </w:p>
    <w:p>
      <w:pPr>
        <w:keepLines w:val="1"/>
        <w:spacing w:after="0"/>
      </w:pPr>
      <w:r>
        <w:rPr>
          <w:sz w:val="20"/>
          <w:szCs w:val="20"/>
        </w:rPr>
        <w:t xml:space="preserve">UP-GF, UP-GF mit Auflageflansch in Dämmschichtdicke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29,00 - 62,00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0,15 - 0,70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0,82 - 0,86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0,67 - 2,00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0,96 - 1,50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 Aufsetzkranz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0,55 - 2,20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Flachdachfenster starr | Flachdachfenster lüftbar | Flachdachfenster als geometrische RWA | Dachausstieg | Dachausstieg, wärmegedämmt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[0.18:1.74]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Spindelhubantrieb | Kettenschubantrieb | verdeckter Kettenschubantrieb | Zahnstangenantrieb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2025-11-04T07:49:54+01:00</dcterms:created>
  <dcterms:modified xsi:type="dcterms:W3CDTF">2025-11-04T07:49:54+01:00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