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LINITHERM® Gefälledach-Dämmsystem PAL Gefälle Kehlplatte</w:t>
      </w:r>
    </w:p>
    <w:p>
      <w:pPr/>
      <w:r>
        <w:rPr/>
        <w:t xml:space="preserve">Linzmeier Bauelemente</w:t>
      </w:r>
    </w:p>
    <w:p/>
    <w:p>
      <w:pPr/>
      <w:r>
        <w:pict>
          <v:shape type="#_x0000_t75" stroked="f" style="width:180pt; height:157,5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Anwendungsgebiet Wärmedämmstoff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DAA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Platte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Polyurethan-Hartschaum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Brandverhalten</w:t>
      </w:r>
    </w:p>
    <w:p>
      <w:pPr>
        <w:keepLines w:val="1"/>
        <w:spacing w:after="0"/>
      </w:pPr>
      <w:r>
        <w:rPr>
          <w:sz w:val="20"/>
          <w:szCs w:val="20"/>
        </w:rPr>
        <w:t xml:space="preserve">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Druckbelastbarkeitsstufe</w:t>
      </w:r>
    </w:p>
    <w:p>
      <w:pPr>
        <w:keepLines w:val="1"/>
        <w:spacing w:after="0"/>
      </w:pPr>
      <w:r>
        <w:rPr>
          <w:sz w:val="20"/>
          <w:szCs w:val="20"/>
        </w:rPr>
        <w:t xml:space="preserve">dh - hohe Druckbelastbarkeit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Kantenausführung</w:t>
      </w:r>
    </w:p>
    <w:p>
      <w:pPr>
        <w:keepLines w:val="1"/>
        <w:spacing w:after="0"/>
      </w:pPr>
      <w:r>
        <w:rPr>
          <w:sz w:val="20"/>
          <w:szCs w:val="20"/>
        </w:rPr>
        <w:t xml:space="preserve">gerade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Kaschierung</w:t>
      </w:r>
    </w:p>
    <w:p>
      <w:pPr>
        <w:keepLines w:val="1"/>
        <w:spacing w:after="0"/>
      </w:pPr>
      <w:r>
        <w:rPr>
          <w:sz w:val="20"/>
          <w:szCs w:val="20"/>
        </w:rPr>
        <w:t xml:space="preserve">beidseitig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 Kaschierung, Beschichtung</w:t>
      </w:r>
    </w:p>
    <w:p>
      <w:pPr>
        <w:keepLines w:val="1"/>
        <w:spacing w:after="0"/>
      </w:pPr>
      <w:r>
        <w:rPr>
          <w:sz w:val="20"/>
          <w:szCs w:val="20"/>
        </w:rPr>
        <w:t xml:space="preserve">Aluminiumfolie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Bemessungswert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mittlere Dicke  Gefälledämmschicht (mm)</w:t>
      </w:r>
    </w:p>
    <w:p>
      <w:pPr>
        <w:keepLines w:val="1"/>
        <w:spacing w:after="0"/>
      </w:pPr>
      <w:r>
        <w:rPr>
          <w:sz w:val="20"/>
          <w:szCs w:val="20"/>
        </w:rPr>
        <w:t xml:space="preserve">43,00 - 218,00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Neigung  Gefälle (%)</w:t>
      </w:r>
    </w:p>
    <w:p>
      <w:pPr>
        <w:keepLines w:val="1"/>
        <w:spacing w:after="0"/>
      </w:pPr>
      <w:r>
        <w:rPr>
          <w:sz w:val="20"/>
          <w:szCs w:val="20"/>
        </w:rPr>
        <w:t xml:space="preserve">2,00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Nennwert der Wärmeleitfähigkeit (W/(m*K))</w:t>
      </w:r>
    </w:p>
    <w:p>
      <w:pPr>
        <w:keepLines w:val="1"/>
        <w:spacing w:after="0"/>
      </w:pPr>
      <w:r>
        <w:rPr>
          <w:sz w:val="20"/>
          <w:szCs w:val="20"/>
        </w:rPr>
        <w:t xml:space="preserve">0,02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21.09.2025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84,166666666667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Linzmeier Bauelemente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2025-09-21T22:39:56+02:00</dcterms:created>
  <dcterms:modified xsi:type="dcterms:W3CDTF">2025-09-21T22:39:56+02:00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