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LINITHERM® Innenraum-Dämmplatte PAL UK</w:t>
      </w:r>
    </w:p>
    <w:p>
      <w:pPr/>
      <w:r>
        <w:rPr/>
        <w:t xml:space="preserve">Linzmeier Bauelemente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DI, WI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Polyurethan-Hartschaum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84,00 - 124,00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benzinbeständig, chemikalienbeständig gem. Herstellerangabe, ölbeständig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Stufenfalz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Deckschicht</w:t>
      </w:r>
    </w:p>
    <w:p>
      <w:pPr>
        <w:keepLines w:val="1"/>
        <w:spacing w:after="0"/>
      </w:pPr>
      <w:r>
        <w:rPr>
          <w:sz w:val="20"/>
          <w:szCs w:val="20"/>
        </w:rPr>
        <w:t xml:space="preserve">Holzwerkstoff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Deckschicht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0,22 - 0,36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Linzmeier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2025-10-25T10:28:42+02:00</dcterms:created>
  <dcterms:modified xsi:type="dcterms:W3CDTF">2025-10-25T10:28:42+02:00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