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Marazzi Grande Concrete Look Boden- und Wandfliese</w:t>
      </w:r>
    </w:p>
    <w:p>
      <w:pPr/>
      <w:r>
        <w:rPr/>
        <w:t xml:space="preserve">MARAZZI</w:t>
      </w:r>
    </w:p>
    <w:p/>
    <w:p>
      <w:pPr/>
      <w:r>
        <w:pict>
          <v:shape type="#_x0000_t75" stroked="f" style="width:180pt; height:112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Feinsteinzeug, 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120,00 - 162,00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120,00 - 324,00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Standardformate</w:t>
      </w:r>
    </w:p>
    <w:p>
      <w:pPr>
        <w:keepLines w:val="1"/>
        <w:spacing w:after="0"/>
      </w:pPr>
      <w:r>
        <w:rPr>
          <w:sz w:val="20"/>
          <w:szCs w:val="20"/>
        </w:rPr>
        <w:t xml:space="preserve">120x120, 120x240, 160x320, 162x324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MARAZZI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2025-10-02T06:48:31+02:00</dcterms:created>
  <dcterms:modified xsi:type="dcterms:W3CDTF">2025-10-02T06:48:31+02:00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