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THOMSIT XE 400 Dickschicht-Ausgleich</w:t>
      </w:r>
    </w:p>
    <w:p>
      <w:pPr/>
      <w:r>
        <w:rPr/>
        <w:t xml:space="preserve">PCI Augsburg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4083200303382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30338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Anwendungsbereich</w:t>
      </w:r>
    </w:p>
    <w:p>
      <w:pPr>
        <w:keepLines w:val="1"/>
        <w:spacing w:after="0"/>
      </w:pPr>
      <w:r>
        <w:rPr>
          <w:sz w:val="20"/>
          <w:szCs w:val="20"/>
        </w:rPr>
        <w:t xml:space="preserve">innen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kunststoffvergütet, Pulver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grau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Zement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Anwendung Spachtelmasse</w:t>
      </w:r>
    </w:p>
    <w:p>
      <w:pPr>
        <w:keepLines w:val="1"/>
        <w:spacing w:after="0"/>
      </w:pPr>
      <w:r>
        <w:rPr>
          <w:sz w:val="20"/>
          <w:szCs w:val="20"/>
        </w:rPr>
        <w:t xml:space="preserve">Ausgleichsspachtel, Flächenspachtel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Biegezugfestigkeitsklasse Estrich</w:t>
      </w:r>
    </w:p>
    <w:p>
      <w:pPr>
        <w:keepLines w:val="1"/>
        <w:spacing w:after="0"/>
      </w:pPr>
      <w:r>
        <w:rPr>
          <w:sz w:val="20"/>
          <w:szCs w:val="20"/>
        </w:rPr>
        <w:t xml:space="preserve">F7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A1fl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Druckfestigkeitsklasse Estrich</w:t>
      </w:r>
    </w:p>
    <w:p>
      <w:pPr>
        <w:keepLines w:val="1"/>
        <w:spacing w:after="0"/>
      </w:pPr>
      <w:r>
        <w:rPr>
          <w:sz w:val="20"/>
          <w:szCs w:val="20"/>
        </w:rPr>
        <w:t xml:space="preserve">CA-C30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Lösemittelhaltigkeit / Wasserverdünnbarkeit</w:t>
      </w:r>
    </w:p>
    <w:p>
      <w:pPr>
        <w:keepLines w:val="1"/>
        <w:spacing w:after="0"/>
      </w:pPr>
      <w:r>
        <w:rPr>
          <w:sz w:val="20"/>
          <w:szCs w:val="20"/>
        </w:rPr>
        <w:t xml:space="preserve">emissionsarm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Verarbeitbarkeit</w:t>
      </w:r>
    </w:p>
    <w:p>
      <w:pPr>
        <w:keepLines w:val="1"/>
        <w:spacing w:after="0"/>
      </w:pPr>
      <w:r>
        <w:rPr>
          <w:sz w:val="20"/>
          <w:szCs w:val="20"/>
        </w:rPr>
        <w:t xml:space="preserve">Handverarbeitung, Maschinenverarbeitung (pumpfähig)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Verlegereife</w:t>
      </w:r>
    </w:p>
    <w:p>
      <w:pPr>
        <w:keepLines w:val="1"/>
        <w:spacing w:after="0"/>
      </w:pPr>
      <w:r>
        <w:rPr>
          <w:sz w:val="20"/>
          <w:szCs w:val="20"/>
        </w:rPr>
        <w:t xml:space="preserve">nach 1 Tag, nach 2 Tagen, nach 7 Tagen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Begehbar nach (h)</w:t>
      </w:r>
    </w:p>
    <w:p>
      <w:pPr>
        <w:keepLines w:val="1"/>
        <w:spacing w:after="0"/>
      </w:pPr>
      <w:r>
        <w:rPr>
          <w:sz w:val="20"/>
          <w:szCs w:val="20"/>
        </w:rPr>
        <w:t xml:space="preserve">3,00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Lagerfähigkeit in Monaten</w:t>
      </w:r>
    </w:p>
    <w:p>
      <w:pPr>
        <w:keepLines w:val="1"/>
        <w:spacing w:after="0"/>
      </w:pPr>
      <w:r>
        <w:rPr>
          <w:sz w:val="20"/>
          <w:szCs w:val="20"/>
        </w:rPr>
        <w:t xml:space="preserve">12,00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max. Schichtdicke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3,00 - 40,00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Temperaturbeständigkeit (°C)</w:t>
      </w:r>
    </w:p>
    <w:p>
      <w:pPr>
        <w:keepLines w:val="1"/>
        <w:spacing w:after="0"/>
      </w:pPr>
      <w:r>
        <w:rPr>
          <w:sz w:val="20"/>
          <w:szCs w:val="20"/>
        </w:rPr>
        <w:t xml:space="preserve">-20,00 - 50,00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Verarbeitungszeit (min)</w:t>
      </w:r>
    </w:p>
    <w:p>
      <w:pPr>
        <w:keepLines w:val="1"/>
        <w:spacing w:after="0"/>
      </w:pPr>
      <w:r>
        <w:rPr>
          <w:sz w:val="20"/>
          <w:szCs w:val="20"/>
        </w:rPr>
        <w:t xml:space="preserve">25,00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03.10.2025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52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PCI Augsburg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2025-10-03T00:23:54+02:00</dcterms:created>
  <dcterms:modified xsi:type="dcterms:W3CDTF">2025-10-03T00:23:54+02:00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