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Urbanes System - Dachtyp Gründach Light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DE 302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Systemkomponente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Tragkonstruktion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Einzelhalter/-ständer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Dachrinne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als vorgehängte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Flügeltür, 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Carport, Fahrräder, Mülltonnen, Pavillion, Pergola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Attika Höhe 220 mm zur Dachbegrünung, mit Moos-Sedum-Kombimatte inkl. Schutz- und Speichervlies, mit Stützen aus Quadratrohr, mit Dachträgern aus IPE-Profilstahl, mit außenliegender verzinkter Regenrinne mit Fallrohr Ø80 mm und Rohrauslauf inkl. Laubschutz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</w:t>
      </w:r>
    </w:p>
    <w:p>
      <w:pPr>
        <w:keepLines w:val="1"/>
        <w:spacing w:after="0"/>
      </w:pPr>
      <w:r>
        <w:rPr>
          <w:sz w:val="20"/>
          <w:szCs w:val="20"/>
        </w:rPr>
        <w:t xml:space="preserve">Fußplatten zum Aufdübeln, Seitenverkleidungen, Trapezblech mit Antidröhn- oder Antikondensat-Beschichtung, Antikondensat-Vlies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gemäß DIN EN 1991-1-4:2010-12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</w:t>
      </w:r>
    </w:p>
    <w:p>
      <w:pPr>
        <w:keepLines w:val="1"/>
        <w:spacing w:after="0"/>
      </w:pPr>
      <w:r>
        <w:rPr>
          <w:sz w:val="20"/>
          <w:szCs w:val="20"/>
        </w:rPr>
        <w:t xml:space="preserve">gemäß DIN EN 1991-1-1:2010:12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2025-10-10T21:03:36+02:00</dcterms:created>
  <dcterms:modified xsi:type="dcterms:W3CDTF">2025-10-10T21:03:36+02:00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