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Urbanes System - Dachtyp Stegdoppelplatten</w:t>
      </w:r>
    </w:p>
    <w:p>
      <w:pPr/>
      <w:r>
        <w:rPr/>
        <w:t xml:space="preserve">projekt w Systeme aus Stahl</w:t>
      </w:r>
    </w:p>
    <w:p/>
    <w:p>
      <w:pPr/>
      <w:r>
        <w:pict>
          <v:shape type="#_x0000_t75" stroked="f" style="width:180pt; height:1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DE 300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Systemkomponente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Tragkonstruktion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Einzelhalter/-ständer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Dachrinne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als vorgehängte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Flügeltür, 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Carport, Fahrräder, Mülltonnen, Pavillion, Pergola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Dacheindeckung aus Polycarbonat Stegdoppelplatten 16mm, mit Stützen aus Quadratrohr, mit Dachträgern aus IPE-Profilstahl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</w:t>
      </w:r>
    </w:p>
    <w:p>
      <w:pPr>
        <w:keepLines w:val="1"/>
        <w:spacing w:after="0"/>
      </w:pPr>
      <w:r>
        <w:rPr>
          <w:sz w:val="20"/>
          <w:szCs w:val="20"/>
        </w:rPr>
        <w:t xml:space="preserve">Fußplatten zum Aufdübeln, außenliegende verzinkte Regenrinne 105 mm mit Fallrohr Ø80 mm und Rohrauslauf, Seitenverkleidungen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</w:t>
      </w:r>
    </w:p>
    <w:p>
      <w:pPr>
        <w:keepLines w:val="1"/>
        <w:spacing w:after="0"/>
      </w:pPr>
      <w:r>
        <w:rPr>
          <w:sz w:val="20"/>
          <w:szCs w:val="20"/>
        </w:rPr>
        <w:t xml:space="preserve">gemäß DIN EN 1991-1-4:2010-12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</w:t>
      </w:r>
    </w:p>
    <w:p>
      <w:pPr>
        <w:keepLines w:val="1"/>
        <w:spacing w:after="0"/>
      </w:pPr>
      <w:r>
        <w:rPr>
          <w:sz w:val="20"/>
          <w:szCs w:val="20"/>
        </w:rPr>
        <w:t xml:space="preserve">gemäß DIN EN 1991-1-1:2010:12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projekt w Systeme aus Stahl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2025-11-04T21:06:28+01:00</dcterms:created>
  <dcterms:modified xsi:type="dcterms:W3CDTF">2025-11-04T21:06:28+01:00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