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puren® MetalFix Steildachdämmsystem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9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Furniersperrholz,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023, 024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Steildächer, Metalldächer, Wanddämmung unter Metalldeckung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RB ((m²*K)/W))</w:t>
      </w:r>
    </w:p>
    <w:p>
      <w:pPr>
        <w:keepLines w:val="1"/>
        <w:spacing w:after="0"/>
      </w:pPr>
      <w:r>
        <w:rPr>
          <w:sz w:val="20"/>
          <w:szCs w:val="20"/>
        </w:rPr>
        <w:t xml:space="preserve">6,09, 3,48, 2,5, 4,35, 5,22, 6,96, 7,83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2025-10-06T22:45:08+02:00</dcterms:created>
  <dcterms:modified xsi:type="dcterms:W3CDTF">2025-10-06T22:45:08+02:00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