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Colours A2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Colours A2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beige, blau, braun, dunkelblau, dunkelgrau, gelb, grau, grün, hellbraun, hellgrau, orange, pink, rot, violett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beschichtet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8,00 - 9,00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A2, d0, s1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3-4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9,40 - 11,25</w:t></w:r></w:p><w:p><w:pPr><w:keepNext w:val="1"/><w:keepLines w:val="1"/><w:spacing w:before="120" w:after="0"/></w:pPr><w:r><w:rPr><w:color w:val="6a6f75"/><w:sz w:val="20"/><w:szCs w:val="20"/></w:rPr><w:t xml:space="preserve">sd-Wert (m)</w:t></w:r></w:p><w:p><w:pPr><w:keepLines w:val="1"/><w:spacing w:after="0"/></w:pPr><w:r><w:rPr><w:sz w:val="20"/><w:szCs w:val="20"/></w:rPr><w:t xml:space="preserve">3,20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0,47 - 0,55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25,50 - 27,00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Farbe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27, ≥ 25.5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0.206, 0.302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Farbton NCS</w:t></w:r></w:p><w:p><w:pPr><w:keepLines w:val="1"/><w:spacing w:after="0"/></w:pPr><w:r><w:rPr><w:sz w:val="20"/><w:szCs w:val="20"/></w:rPr><w:t xml:space="preserve">NCS S 0520 - R10B</w:t></w:r></w:p><w:p><w:pPr><w:keepNext w:val="1"/><w:keepLines w:val="1"/><w:spacing w:before="120" w:after="0"/></w:pPr><w:r><w:rPr><w:color w:val="6a6f75"/><w:sz w:val="20"/><w:szCs w:val="20"/></w:rPr><w:t xml:space="preserve">Farbton RAL</w:t></w:r></w:p><w:p><w:pPr><w:keepLines w:val="1"/><w:spacing w:after="0"/></w:pPr><w:r><w:rPr><w:sz w:val="20"/><w:szCs w:val="20"/></w:rPr><w:t xml:space="preserve">RAL 1013
 | RAL 1015
 | RAL 5011
 | RAL 6009
 | RAL 7001
 | RAL 7004
 | RAL 7012
 | RAL 7016
 | RAL 7021
 | RAL 7022
 | RAL 7030
 | RAL 7031
 | RAL 7035
 | RAL 7037
 | RAL 7039
 | RAL 8028
 | RAL 9001
 | RAL 9002
 | RAL 9003
 | RAL 9005
 | RAL 9010
 | RAL 9016
 | RAL 1002
 | RAL 2010
 | RAL 3001
 | RAL 3004
 | RAL 3009
 | RAL 3016
 | RAL 5010
 | RAL 6034
 | RAL 7006
 | RAL 7024
 | RAL 7036
 | RAL 7038
 | RAL 8022
 | RAL 8023
 | RAL 9011
 | RAL 040 40 50
 | RAL 040 50 05
 | RAL 060 50 05
 | RAL 060 50 70
 | RAL 060 70 05
 | RAL 070 70 60
 | RAL 080 80 05
 | RAL 095 50 50
 | RAL 095 70 10
 | RAL 100 80 05
 | RAL 130 50 30
 | RAL 240 80 10
 | RAL 250 40 15
 | RAL 000 50 00
 | RAL 010 20 20
 | RAL 020 20 05
 | RAL 040 50 70
 | RAL 050 30 10
 | RAL 050 40 40
 | RAL 060 30 20
 | RAL 060 50 30
 | RAL 060 70 20
 | RAL 070 60 75
 | RAL 075 40 30
 | RAL 080 30 05
 | RAL 080 30 10
 | RAL 080 40 05
 | RAL 090 80 20
 | RAL 095 70 70
 | RAL 100 40 20
 | RAL 100 90 20
 | RAL 100 90 50
 | RAL 110 70 20
 | RAL 110 70 50
 | RAL 120 80 20
 | RAL 130 60 30
 | RAL 130 80 10
 | RAL 130 80 20
 | RAL 140 60 10
 | RAL 150 80 10
 | RAL 160 50 20
 | RAL 170 40 10
 | RAL 180 20 05
 | RAL 190 40 15
 | RAL 200 50 05
 | RAL 210 30 30
 | RAL 210 40 25
 | RAL 210 90 10
 | RAL 220 20 10
 | RAL 220 40 10
 | RAL 220 60 10
 | RAL 240 30 10
 | RAL 240 80 05
 | RAL 250 50 10
 | RAL 260 20 20
 | RAL 270 30 15
 | RAL 1012
 | RAL 1032
 | RAL 2012
 | RAL 3007
 | RAL 3015
 | RAL 3028
 | RAL 4004
 | RAL 4007
 | RAL 5000
 | RAL 5001
 | RAL 5003
 | RAL 5004
 | RAL 5008
 | RAL 5021
 | RAL 5022
 | RAL 6001
 | RAL 6013
 | RAL 6015
 | RAL 6022
 | RAL 6028
 | RAL 7009
 | RAL 7010
 | RAL 7033
 | RAL 8001
 | RAL 8024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2025-09-29T04:03:39+02:00</dcterms:created>
  <dcterms:modified xsi:type="dcterms:W3CDTF">2025-09-29T04:03:39+02:00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