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Stones A2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Stones A2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beige, braun, dunkelgrau, dunkelgrün, gelb, grau, hellgrau, rot, schwarz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glatt, strukturiert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8,00 - 9,00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A2, d0, s1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9,40 - 11,25</w:t></w:r></w:p><w:p><w:pPr><w:keepNext w:val="1"/><w:keepLines w:val="1"/><w:spacing w:before="120" w:after="0"/></w:pPr><w:r><w:rPr><w:color w:val="6a6f75"/><w:sz w:val="20"/><w:szCs w:val="20"/></w:rPr><w:t xml:space="preserve">sd-Wert (m)</w:t></w:r></w:p><w:p><w:pPr><w:keepLines w:val="1"/><w:spacing w:after="0"/></w:pPr><w:r><w:rPr><w:sz w:val="20"/><w:szCs w:val="20"/></w:rPr><w:t xml:space="preserve">3,20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0,47 - 0,55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25,50 - 27,00</w:t></w:r></w:p><w:p><w:pPr><w:keepNext w:val="1"/><w:keepLines w:val="1"/><w:spacing w:before="120" w:after="0"/></w:pPr><w:r><w:rPr><w:color w:val="6a6f75"/><w:sz w:val="20"/><w:szCs w:val="20"/></w:rPr><w:t xml:space="preserve">Anti-Graffiti-Beschichtung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ProtectPlus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27, ≥ 25.5</w:t></w:r></w:p><w:p><w:pPr><w:keepNext w:val="1"/><w:keepLines w:val="1"/><w:spacing w:before="120" w:after="0"/></w:pPr><w:r><w:rPr><w:color w:val="6a6f75"/><w:sz w:val="20"/><w:szCs w:val="20"/></w:rPr><w:t xml:space="preserve">Farbton Name</w:t></w:r></w:p><w:p><w:pPr><w:keepLines w:val="1"/><w:spacing w:after="0"/></w:pPr><w:r><w:rPr><w:sz w:val="20"/><w:szCs w:val="20"/></w:rPr><w:t xml:space="preserve">Carrara White | Moonstone Silver | Clystone Grey | Sandstone Ochre | Amber Brown | Bronzite Brown | Coral Red | Quartz Grey | Sapphire Blue | Tourmaline Black | Sandy Beige | Platinum Grey | Ash Grey | Brownish Grey | Iron Grey |  Anthracite Green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0.206, 0.302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Nein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2025-09-27T22:19:03+02:00</dcterms:created>
  <dcterms:modified xsi:type="dcterms:W3CDTF">2025-09-27T22:19:03+02:00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