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Uni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Uni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anthrazit, beige, braun, dunkelblau, dunkelgrau, grau, hellgrau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6,00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Holz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B, d0, s2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3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</w:t></w:r></w:p><w:p><w:pPr><w:keepNext w:val="1"/><w:keepLines w:val="1"/><w:spacing w:before="120" w:after="0"/></w:pPr><w:r><w:rPr><w:color w:val="6a6f75"/><w:sz w:val="20"/><w:szCs w:val="20"/></w:rPr><w:t xml:space="preserve">Ausdehnungskoeffizient</w:t></w:r></w:p><w:p><w:pPr><w:keepLines w:val="1"/><w:spacing w:after="0"/></w:pPr><w:r><w:rPr><w:sz w:val="20"/><w:szCs w:val="20"/></w:rPr><w:t xml:space="preserve">10,50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6,30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1,80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0,37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24,00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Nein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Farbe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24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0.303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Wärmeausdehnungskoeffizient [x10^-3 mm/mK]</w:t></w:r></w:p><w:p><w:pPr><w:keepLines w:val="1"/><w:spacing w:after="0"/></w:pPr><w:r><w:rPr><w:sz w:val="20"/><w:szCs w:val="20"/></w:rPr><w:t xml:space="preserve">10.5</w:t></w:r></w:p><w:p><w:pPr><w:keepNext w:val="1"/><w:keepLines w:val="1"/><w:spacing w:before="120" w:after="0"/></w:pPr><w:r><w:rPr><w:color w:val="6a6f75"/><w:sz w:val="20"/><w:szCs w:val="20"/></w:rPr><w:t xml:space="preserve">Farbton RAL</w:t></w:r></w:p><w:p><w:pPr><w:keepLines w:val="1"/><w:spacing w:after="0"/></w:pPr><w:r><w:rPr><w:sz w:val="20"/><w:szCs w:val="20"/></w:rPr><w:t xml:space="preserve">RAL 5011 | RAL 6009 | RAL 7004 | RAL 7016 | RAL 7022 | RAL 7030 | RAL 7035 | RAL 7037 | RAL 7039 | RAL 9001 | RAL 9005 | RAL 9010 | RAL 9016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2025-09-27T22:19:02+02:00</dcterms:created>
  <dcterms:modified xsi:type="dcterms:W3CDTF">2025-09-27T22:19:02+02:00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