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BHKW Dachs G2.9 Erdgas</w:t>
      </w:r>
    </w:p>
    <w:p>
      <w:pPr/>
      <w:r>
        <w:rPr/>
        <w:t xml:space="preserve">SenerTec</w:t>
      </w:r>
    </w:p>
    <w:p/>
    <w:p>
      <w:pPr/>
      <w:r>
        <w:pict>
          <v:shape type="#_x0000_t75" stroked="f" style="width:180pt; height:178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548-DE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Gas-Blockheizkraftwerk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Brennstoff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Biogas, Erdgas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A+++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 Nennleistung (kW)</w:t>
      </w:r>
    </w:p>
    <w:p>
      <w:pPr>
        <w:keepLines w:val="1"/>
        <w:spacing w:after="0"/>
      </w:pPr>
      <w:r>
        <w:rPr>
          <w:sz w:val="20"/>
          <w:szCs w:val="20"/>
        </w:rPr>
        <w:t xml:space="preserve">2,85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Wärmenennleistung (kW)</w:t>
      </w:r>
    </w:p>
    <w:p>
      <w:pPr>
        <w:keepLines w:val="1"/>
        <w:spacing w:after="0"/>
      </w:pPr>
      <w:r>
        <w:rPr>
          <w:sz w:val="20"/>
          <w:szCs w:val="20"/>
        </w:rPr>
        <w:t xml:space="preserve">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Wirkungsgrad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bis 26,9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Gesamtwirkungsgrad Brennstoffnutzung H(i) (%)</w:t>
      </w:r>
    </w:p>
    <w:p>
      <w:pPr>
        <w:keepLines w:val="1"/>
        <w:spacing w:after="0"/>
      </w:pPr>
      <w:r>
        <w:rPr>
          <w:sz w:val="20"/>
          <w:szCs w:val="20"/>
        </w:rPr>
        <w:t xml:space="preserve">bis 102,7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Schallleistungspegel Innenraum (dB(A))</w:t>
      </w:r>
    </w:p>
    <w:p>
      <w:pPr>
        <w:keepLines w:val="1"/>
        <w:spacing w:after="0"/>
      </w:pPr>
      <w:r>
        <w:rPr>
          <w:sz w:val="20"/>
          <w:szCs w:val="20"/>
        </w:rPr>
        <w:t xml:space="preserve">56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SenerTec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2025-09-28T01:19:13+02:00</dcterms:created>
  <dcterms:modified xsi:type="dcterms:W3CDTF">2025-09-28T01:19:13+02:00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