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Sopro Armierungsgewebe Panzergewebe extra</w:t>
      </w:r>
    </w:p>
    <w:p>
      <w:pPr/>
      <w:r>
        <w:rPr/>
        <w:t xml:space="preserve">Sopro Bauchemie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Flächen-Armierung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rot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Glasfaser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500,00 - 1.000,00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25.000,00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1,20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Aufbau</w:t>
      </w:r>
    </w:p>
    <w:p>
      <w:pPr>
        <w:keepLines w:val="1"/>
        <w:spacing w:after="0"/>
      </w:pPr>
      <w:r>
        <w:rPr>
          <w:sz w:val="20"/>
          <w:szCs w:val="20"/>
        </w:rPr>
        <w:t xml:space="preserve">verstärkt, Panzergewebe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alkalibeständig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0,57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Anwendungsbereich</w:t>
      </w:r>
    </w:p>
    <w:p>
      <w:pPr>
        <w:keepLines w:val="1"/>
        <w:spacing w:after="0"/>
      </w:pPr>
      <w:r>
        <w:rPr>
          <w:sz w:val="20"/>
          <w:szCs w:val="20"/>
        </w:rPr>
        <w:t xml:space="preserve">innen | außen | Wand | Boden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8,7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Sopro Bauchemie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2025-10-10T06:14:05+02:00</dcterms:created>
  <dcterms:modified xsi:type="dcterms:W3CDTF">2025-10-10T06:14:05+02:00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