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Sopro Fliesenkleber Multiflexkleber Silver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Ansetzmörtel, Klebmörtel, Klebemörtel, Verlegmörtel, Verlegemörtel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Trasszement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Eignung (Sonderanwendungen)</w:t>
      </w:r>
    </w:p>
    <w:p>
      <w:pPr>
        <w:keepLines w:val="1"/>
        <w:spacing w:after="0"/>
      </w:pPr>
      <w:r>
        <w:rPr>
          <w:sz w:val="20"/>
          <w:szCs w:val="20"/>
        </w:rPr>
        <w:t xml:space="preserve">Fußbodenheizungseignung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nach DIN / EN</w:t>
      </w:r>
    </w:p>
    <w:p>
      <w:pPr>
        <w:keepLines w:val="1"/>
        <w:spacing w:after="0"/>
      </w:pPr>
      <w:r>
        <w:rPr>
          <w:sz w:val="20"/>
          <w:szCs w:val="20"/>
        </w:rPr>
        <w:t xml:space="preserve">C2 gem. DIN EN 12004, S1 gem. DIN EN 12004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Spezifikation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Dünnbettmörtel, Fließbettmörtel, Mittelbettmörtel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Verlegewerkstoff (Fliesen, Platten)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Betonwerkstein, Feinsteinzeug, Naturstein, Steingut, 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Begehbar nach (h)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| außen | Boden | Wand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2025-10-17T09:32:34+02:00</dcterms:created>
  <dcterms:modified xsi:type="dcterms:W3CDTF">2025-10-17T09:32:34+02:00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