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LUX-top ASP EV 2 - Ø 26 mm (4-Loch Befestigung)</w:t>
      </w:r>
    </w:p>
    <w:p>
      <w:pPr/>
      <w:r>
        <w:rPr/>
        <w:t xml:space="preserve">ST QUADRAT Fall Protection S.A.</w:t>
      </w:r>
    </w:p>
    <w:p/>
    <w:p>
      <w:pPr/>
      <w:r>
        <w:pict>
          <v:shape type="#_x0000_t75" stroked="f" style="width:180pt; height:13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verankern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Festigkeitsklasse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C20/25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2 mittel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Befestigungspunkte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Deckenstärke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Einzelanschlagpunkt | End- bzw. Zwischenanker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Ankerbolzen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Kombinationsmöglichkeiten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temporäres Führungsseil | Zwischenpunkt Seilsystem LUX-top FSE 2003 | Anschlagpunkt nachträglich LUX-top Verlängerung | Anfangs-, Eck- und Endpunkt LUX-top FSE 2003 | Abseilpunkt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 QUADRAT Fall Protection S.A.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2025-09-30T00:11:13+02:00</dcterms:created>
  <dcterms:modified xsi:type="dcterms:W3CDTF">2025-09-30T00:11:13+02:00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