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Staka Flachdachausstieg DL-Serie</w:t>
      </w:r>
    </w:p>
    <w:p>
      <w:pPr/>
      <w:r>
        <w:rPr/>
        <w:t xml:space="preserve">Staka</w:t>
      </w:r>
    </w:p>
    <w:p/>
    <w:p>
      <w:pPr/>
      <w:r>
        <w:pict>
          <v:shape type="#_x0000_t75" stroked="f" style="width:180pt; height:12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Widerstandsfähigkeit gegen Windlast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dauerhafte Belastung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circa ± 4.800 Kg/m2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Stoßbelastung in (kNm)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Luftschalldämmung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</w:t>
      </w:r>
    </w:p>
    <w:p>
      <w:pPr>
        <w:keepLines w:val="1"/>
        <w:spacing w:after="0"/>
      </w:pPr>
      <w:r>
        <w:rPr>
          <w:sz w:val="20"/>
          <w:szCs w:val="20"/>
        </w:rPr>
        <w:t xml:space="preserve">105 kg, 75 kg, 145 kg, 85 kg, 65 kg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Staka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2025-09-08T20:14:56+02:00</dcterms:created>
  <dcterms:modified xsi:type="dcterms:W3CDTF">2025-09-08T20:14:56+02:00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