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STRATE Abwasserhebeanlage AWALIFT 9/4</w:t>
      </w:r>
    </w:p>
    <w:p>
      <w:pPr/>
      <w:r>
        <w:rPr/>
        <w:t xml:space="preserve">STRATE</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Art Fördermedium</w:t>
      </w:r>
    </w:p>
    <w:p>
      <w:pPr>
        <w:keepLines w:val="1"/>
        <w:spacing w:after="0"/>
      </w:pPr>
      <w:r>
        <w:rPr>
          <w:sz w:val="20"/>
          <w:szCs w:val="20"/>
        </w:rPr>
        <w:t xml:space="preserve">Schmutzwasser, fäkalienfrei, Schmutzwasser, fäkalienhaltig</w:t>
      </w:r>
    </w:p>
    <w:p>
      <w:pPr>
        <w:keepNext w:val="1"/>
        <w:keepLines w:val="1"/>
        <w:spacing w:before="120" w:after="0"/>
      </w:pPr>
      <w:r>
        <w:rPr>
          <w:color w:val="6a6f75"/>
          <w:sz w:val="20"/>
          <w:szCs w:val="20"/>
        </w:rPr>
        <w:t xml:space="preserve">Bauart Hebeanlage</w:t>
      </w:r>
    </w:p>
    <w:p>
      <w:pPr>
        <w:keepLines w:val="1"/>
        <w:spacing w:after="0"/>
      </w:pPr>
      <w:r>
        <w:rPr>
          <w:sz w:val="20"/>
          <w:szCs w:val="20"/>
        </w:rPr>
        <w:t xml:space="preserve">Mehrfachpumpanlage</w:t>
      </w:r>
    </w:p>
    <w:p>
      <w:pPr>
        <w:keepNext w:val="1"/>
        <w:keepLines w:val="1"/>
        <w:spacing w:before="120" w:after="0"/>
      </w:pPr>
      <w:r>
        <w:rPr>
          <w:color w:val="6a6f75"/>
          <w:sz w:val="20"/>
          <w:szCs w:val="20"/>
        </w:rPr>
        <w:t xml:space="preserve">Förderhöhe (m)</w:t>
      </w:r>
    </w:p>
    <w:p>
      <w:pPr>
        <w:keepLines w:val="1"/>
        <w:spacing w:after="0"/>
      </w:pPr>
      <w:r>
        <w:rPr>
          <w:sz w:val="20"/>
          <w:szCs w:val="20"/>
        </w:rPr>
        <w:t xml:space="preserve">40,00 - 80,00</w:t>
      </w:r>
    </w:p>
    <w:p>
      <w:pPr>
        <w:keepNext w:val="1"/>
        <w:keepLines w:val="1"/>
        <w:spacing w:before="120" w:after="0"/>
      </w:pPr>
      <w:r>
        <w:rPr>
          <w:color w:val="6a6f75"/>
          <w:sz w:val="20"/>
          <w:szCs w:val="20"/>
        </w:rPr>
        <w:t xml:space="preserve">Förderstrom (m³/h)</w:t>
      </w:r>
    </w:p>
    <w:p>
      <w:pPr>
        <w:keepLines w:val="1"/>
        <w:spacing w:after="0"/>
      </w:pPr>
      <w:r>
        <w:rPr>
          <w:sz w:val="20"/>
          <w:szCs w:val="20"/>
        </w:rPr>
        <w:t xml:space="preserve">600,00</w:t>
      </w:r>
    </w:p>
    <w:p>
      <w:pPr>
        <w:keepNext w:val="1"/>
        <w:keepLines w:val="1"/>
        <w:spacing w:before="120" w:after="0"/>
      </w:pPr>
      <w:r>
        <w:rPr>
          <w:color w:val="6a6f75"/>
          <w:sz w:val="20"/>
          <w:szCs w:val="20"/>
        </w:rPr>
        <w:t xml:space="preserve">Höhe (mm)</w:t>
      </w:r>
    </w:p>
    <w:p>
      <w:pPr>
        <w:keepLines w:val="1"/>
        <w:spacing w:after="0"/>
      </w:pPr>
      <w:r>
        <w:rPr>
          <w:sz w:val="20"/>
          <w:szCs w:val="20"/>
        </w:rPr>
        <w:t xml:space="preserve">3.000,00</w:t>
      </w:r>
    </w:p>
    <w:p>
      <w:pPr>
        <w:keepNext w:val="1"/>
        <w:keepLines w:val="1"/>
        <w:spacing w:before="120" w:after="0"/>
      </w:pPr>
      <w:r>
        <w:rPr>
          <w:color w:val="6a6f75"/>
          <w:sz w:val="20"/>
          <w:szCs w:val="20"/>
        </w:rPr>
        <w:t xml:space="preserve">Anschlussnennweite druckseitig</w:t>
      </w:r>
    </w:p>
    <w:p>
      <w:pPr>
        <w:keepLines w:val="1"/>
        <w:spacing w:after="0"/>
      </w:pPr>
      <w:r>
        <w:rPr>
          <w:sz w:val="20"/>
          <w:szCs w:val="20"/>
        </w:rPr>
        <w:t xml:space="preserve">DN 300</w:t>
      </w:r>
    </w:p>
    <w:p>
      <w:pPr>
        <w:keepNext w:val="1"/>
        <w:keepLines w:val="1"/>
        <w:spacing w:before="120" w:after="0"/>
      </w:pPr>
      <w:r>
        <w:rPr>
          <w:color w:val="6a6f75"/>
          <w:sz w:val="20"/>
          <w:szCs w:val="20"/>
        </w:rPr>
        <w:t xml:space="preserve">Anschlussnennweite saugseitig</w:t>
      </w:r>
    </w:p>
    <w:p>
      <w:pPr>
        <w:keepLines w:val="1"/>
        <w:spacing w:after="0"/>
      </w:pPr>
      <w:r>
        <w:rPr>
          <w:sz w:val="20"/>
          <w:szCs w:val="20"/>
        </w:rPr>
        <w:t xml:space="preserve">DN 400</w:t>
      </w:r>
    </w:p>
    <w:p>
      <w:pPr>
        <w:keepNext w:val="1"/>
        <w:keepLines w:val="1"/>
        <w:spacing w:before="120" w:after="0"/>
      </w:pPr>
      <w:r>
        <w:rPr>
          <w:color w:val="6a6f75"/>
          <w:sz w:val="20"/>
          <w:szCs w:val="20"/>
        </w:rPr>
        <w:t xml:space="preserve">Nenndruck</w:t>
      </w:r>
    </w:p>
    <w:p>
      <w:pPr>
        <w:keepLines w:val="1"/>
        <w:spacing w:after="0"/>
      </w:pPr>
      <w:r>
        <w:rPr>
          <w:sz w:val="20"/>
          <w:szCs w:val="20"/>
        </w:rPr>
        <w:t xml:space="preserve">10</w:t>
      </w:r>
    </w:p>
    <w:p>
      <w:pPr>
        <w:keepNext w:val="1"/>
        <w:keepLines w:val="1"/>
        <w:spacing w:before="120" w:after="0"/>
      </w:pPr>
      <w:r>
        <w:rPr>
          <w:color w:val="6a6f75"/>
          <w:sz w:val="20"/>
          <w:szCs w:val="20"/>
        </w:rPr>
        <w:t xml:space="preserve">Netzanschluss</w:t>
      </w:r>
    </w:p>
    <w:p>
      <w:pPr>
        <w:keepLines w:val="1"/>
        <w:spacing w:after="0"/>
      </w:pPr>
      <w:r>
        <w:rPr>
          <w:sz w:val="20"/>
          <w:szCs w:val="20"/>
        </w:rPr>
        <w:t xml:space="preserve">230V, 400V</w:t>
      </w:r>
    </w:p>
    <w:p>
      <w:pPr>
        <w:keepNext w:val="1"/>
        <w:keepLines w:val="1"/>
        <w:spacing w:before="120" w:after="0"/>
      </w:pPr>
      <w:r>
        <w:rPr>
          <w:color w:val="6a6f75"/>
          <w:sz w:val="20"/>
          <w:szCs w:val="20"/>
        </w:rPr>
        <w:t xml:space="preserve">Werkstoff Pumpengehäuse</w:t>
      </w:r>
    </w:p>
    <w:p>
      <w:pPr>
        <w:keepLines w:val="1"/>
        <w:spacing w:after="0"/>
      </w:pPr>
      <w:r>
        <w:rPr>
          <w:sz w:val="20"/>
          <w:szCs w:val="20"/>
        </w:rPr>
        <w:t xml:space="preserve">Stahl</w:t>
      </w:r>
    </w:p>
    <w:p>
      <w:pPr>
        <w:keepNext w:val="1"/>
        <w:keepLines w:val="1"/>
        <w:spacing w:before="120" w:after="0"/>
      </w:pPr>
      <w:r>
        <w:rPr>
          <w:color w:val="6a6f75"/>
          <w:sz w:val="20"/>
          <w:szCs w:val="20"/>
        </w:rPr>
        <w:t xml:space="preserve">Anzahl Pumpen</w:t>
      </w:r>
    </w:p>
    <w:p>
      <w:pPr>
        <w:keepLines w:val="1"/>
        <w:spacing w:after="0"/>
      </w:pPr>
      <w:r>
        <w:rPr>
          <w:sz w:val="20"/>
          <w:szCs w:val="20"/>
        </w:rPr>
        <w:t xml:space="preserve">4,00</w:t>
      </w:r>
    </w:p>
    <w:p>
      <w:pPr>
        <w:keepNext w:val="1"/>
        <w:keepLines w:val="1"/>
        <w:spacing w:before="120" w:after="0"/>
      </w:pPr>
      <w:r>
        <w:rPr>
          <w:color w:val="6a6f75"/>
          <w:sz w:val="20"/>
          <w:szCs w:val="20"/>
        </w:rPr>
        <w:t xml:space="preserve">Durchmesser (mm)</w:t>
      </w:r>
    </w:p>
    <w:p>
      <w:pPr>
        <w:keepLines w:val="1"/>
        <w:spacing w:after="0"/>
      </w:pPr>
      <w:r>
        <w:rPr>
          <w:sz w:val="20"/>
          <w:szCs w:val="20"/>
        </w:rPr>
        <w:t xml:space="preserve">2.800,00</w:t>
      </w:r>
    </w:p>
    <w:p>
      <w:pPr>
        <w:keepNext w:val="1"/>
        <w:keepLines w:val="1"/>
        <w:spacing w:before="120" w:after="0"/>
      </w:pPr>
      <w:r>
        <w:rPr>
          <w:color w:val="6a6f75"/>
          <w:sz w:val="20"/>
          <w:szCs w:val="20"/>
        </w:rPr>
        <w:t xml:space="preserve">Einwohnerzahl EW</w:t>
      </w:r>
    </w:p>
    <w:p>
      <w:pPr>
        <w:keepLines w:val="1"/>
        <w:spacing w:after="0"/>
      </w:pPr>
      <w:r>
        <w:rPr>
          <w:sz w:val="20"/>
          <w:szCs w:val="20"/>
        </w:rPr>
        <w:t xml:space="preserve">28.000,00</w:t>
      </w:r>
    </w:p>
    <w:p>
      <w:pPr>
        <w:keepNext w:val="1"/>
        <w:keepLines w:val="1"/>
        <w:spacing w:before="120" w:after="0"/>
      </w:pPr>
      <w:r>
        <w:rPr>
          <w:color w:val="6a6f75"/>
          <w:sz w:val="20"/>
          <w:szCs w:val="20"/>
        </w:rPr>
        <w:t xml:space="preserve">Gewicht (kg)</w:t>
      </w:r>
    </w:p>
    <w:p>
      <w:pPr>
        <w:keepLines w:val="1"/>
        <w:spacing w:after="0"/>
      </w:pPr>
      <w:r>
        <w:rPr>
          <w:sz w:val="20"/>
          <w:szCs w:val="20"/>
        </w:rPr>
        <w:t xml:space="preserve">4.500,00</w:t>
      </w:r>
    </w:p>
    <w:p>
      <w:pPr>
        <w:keepNext w:val="1"/>
        <w:keepLines w:val="1"/>
        <w:spacing w:before="120" w:after="0"/>
      </w:pPr>
      <w:r>
        <w:rPr>
          <w:color w:val="6a6f75"/>
          <w:sz w:val="20"/>
          <w:szCs w:val="20"/>
        </w:rPr>
        <w:t xml:space="preserve">Inhalt/Nennvolumen  Behälter (l)</w:t>
      </w:r>
    </w:p>
    <w:p>
      <w:pPr>
        <w:keepLines w:val="1"/>
        <w:spacing w:after="0"/>
      </w:pPr>
      <w:r>
        <w:rPr>
          <w:sz w:val="20"/>
          <w:szCs w:val="20"/>
        </w:rPr>
        <w:t xml:space="preserve">14.000,00</w:t>
      </w:r>
    </w:p>
    <w:p>
      <w:pPr>
        <w:keepNext w:val="1"/>
        <w:keepLines w:val="1"/>
        <w:spacing w:before="120" w:after="0"/>
      </w:pPr>
      <w:r>
        <w:rPr>
          <w:color w:val="6a6f75"/>
          <w:sz w:val="20"/>
          <w:szCs w:val="20"/>
        </w:rPr>
        <w:t xml:space="preserve">Nenn-Frequenz (Hz)</w:t>
      </w:r>
    </w:p>
    <w:p>
      <w:pPr>
        <w:keepLines w:val="1"/>
        <w:spacing w:after="0"/>
      </w:pPr>
      <w:r>
        <w:rPr>
          <w:sz w:val="20"/>
          <w:szCs w:val="20"/>
        </w:rPr>
        <w:t xml:space="preserve">50,00</w:t>
      </w:r>
    </w:p>
    <w:p>
      <w:pPr>
        <w:keepNext w:val="1"/>
        <w:keepLines w:val="1"/>
        <w:spacing w:before="120" w:after="0"/>
      </w:pPr>
      <w:r>
        <w:rPr>
          <w:color w:val="6a6f75"/>
          <w:sz w:val="20"/>
          <w:szCs w:val="20"/>
        </w:rPr>
        <w:t xml:space="preserve">Zulaufhöhe (Abstand zwischen Rohrsohle und Aufstellfläche) (mm)</w:t>
      </w:r>
    </w:p>
    <w:p>
      <w:pPr>
        <w:keepLines w:val="1"/>
        <w:spacing w:after="0"/>
      </w:pPr>
      <w:r>
        <w:rPr>
          <w:sz w:val="20"/>
          <w:szCs w:val="20"/>
        </w:rPr>
        <w:t xml:space="preserve">2.300,00</w:t>
      </w:r>
    </w:p>
    <w:p>
      <w:pPr>
        <w:keepNext w:val="1"/>
        <w:keepLines w:val="1"/>
        <w:spacing w:before="120" w:after="0"/>
      </w:pPr>
      <w:r>
        <w:rPr>
          <w:color w:val="6a6f75"/>
          <w:sz w:val="20"/>
          <w:szCs w:val="20"/>
        </w:rPr>
        <w:t xml:space="preserve">Einsatzbereich</w:t>
      </w:r>
    </w:p>
    <w:p>
      <w:pPr>
        <w:keepLines w:val="1"/>
        <w:spacing w:after="0"/>
      </w:pPr>
      <w:r>
        <w:rPr>
          <w:sz w:val="20"/>
          <w:szCs w:val="20"/>
        </w:rPr>
        <w:t xml:space="preserve">Entwässerung von Ortschaften und Städten bis ca. 29.000 EW, die nicht mit natürlichem Gefälle entwässert werden können, als Zwischenpumpwerk im Rahmen eines Druckentwässerungssytems, Kommunen, Objekte der Infrastruktur, wie Flughäfen, Gewerbeparks, u.ä.</w:t>
      </w:r>
    </w:p>
    <w:p>
      <w:pPr>
        <w:keepNext w:val="1"/>
        <w:keepLines w:val="1"/>
        <w:spacing w:before="120" w:after="0"/>
      </w:pPr>
      <w:r>
        <w:rPr>
          <w:color w:val="6a6f75"/>
          <w:sz w:val="20"/>
          <w:szCs w:val="20"/>
        </w:rPr>
        <w:t xml:space="preserve">Montageöffnung</w:t>
      </w:r>
    </w:p>
    <w:p>
      <w:pPr>
        <w:keepLines w:val="1"/>
        <w:spacing w:after="0"/>
      </w:pPr>
      <w:r>
        <w:rPr>
          <w:sz w:val="20"/>
          <w:szCs w:val="20"/>
        </w:rPr>
        <w:t xml:space="preserve">3200 mm x 3200 mm</w:t>
      </w:r>
    </w:p>
    <w:p>
      <w:pPr>
        <w:keepNext w:val="1"/>
        <w:keepLines w:val="1"/>
        <w:spacing w:before="120" w:after="0"/>
      </w:pPr>
      <w:r>
        <w:rPr>
          <w:color w:val="6a6f75"/>
          <w:sz w:val="20"/>
          <w:szCs w:val="20"/>
        </w:rPr>
        <w:t xml:space="preserve">Platzbedarf</w:t>
      </w:r>
    </w:p>
    <w:p>
      <w:pPr>
        <w:keepLines w:val="1"/>
        <w:spacing w:after="0"/>
      </w:pPr>
      <w:r>
        <w:rPr>
          <w:sz w:val="20"/>
          <w:szCs w:val="20"/>
        </w:rPr>
        <w:t xml:space="preserve">6000 mm x 4600 mm</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31.10.2025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86,2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STRATE</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2025-10-31T13:59:09+01:00</dcterms:created>
  <dcterms:modified xsi:type="dcterms:W3CDTF">2025-10-31T13:59:09+01:00</dcterms:modified>
</cp:coreProperties>
</file>

<file path=docProps/custom.xml><?xml version="1.0" encoding="utf-8"?>
<Properties xmlns="http://schemas.openxmlformats.org/officeDocument/2006/custom-properties" xmlns:vt="http://schemas.openxmlformats.org/officeDocument/2006/docPropsVTypes"/>
</file>