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Triflex Cryl Primer 287</w:t>
      </w:r>
    </w:p>
    <w:p>
      <w:pPr/>
      <w:r>
        <w:rPr/>
        <w:t xml:space="preserve">Triflex</w:t>
      </w:r>
    </w:p>
    <w:p/>
    <w:p>
      <w:pPr/>
      <w:r>
        <w:pict>
          <v:shape type="#_x0000_t75" stroked="f" style="width:180pt; height:253,0714285714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22870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Arbeitsuntergrund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Beton, Estrich, 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transparent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Grundierung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Polymethylmethacrylat (PMMA)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Haupt-Bindemittelbasis</w:t>
      </w:r>
    </w:p>
    <w:p>
      <w:pPr>
        <w:keepLines w:val="1"/>
        <w:spacing w:after="0"/>
      </w:pPr>
      <w:r>
        <w:rPr>
          <w:sz w:val="20"/>
          <w:szCs w:val="20"/>
        </w:rPr>
        <w:t xml:space="preserve">Reaktionsharz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Lösemittelhaltigkeit / Wasserverdünnbarkeit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lösemittelfrei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Maschinenverarbeitung (pumpfähig), rollbar, spritzbar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Begehbar nach (h)</w:t>
      </w:r>
    </w:p>
    <w:p>
      <w:pPr>
        <w:keepLines w:val="1"/>
        <w:spacing w:after="0"/>
      </w:pPr>
      <w:r>
        <w:rPr>
          <w:sz w:val="20"/>
          <w:szCs w:val="20"/>
        </w:rPr>
        <w:t xml:space="preserve">0,75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Füllmenge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10,00 - 910,00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Lagerfähigkeit in Monaten</w:t>
      </w:r>
    </w:p>
    <w:p>
      <w:pPr>
        <w:keepLines w:val="1"/>
        <w:spacing w:after="0"/>
      </w:pPr>
      <w:r>
        <w:rPr>
          <w:sz w:val="20"/>
          <w:szCs w:val="20"/>
        </w:rPr>
        <w:t xml:space="preserve">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Verarbeitungstemperatur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Eigenschaften</w:t>
      </w:r>
    </w:p>
    <w:p>
      <w:pPr>
        <w:keepLines w:val="1"/>
        <w:spacing w:after="0"/>
      </w:pPr>
      <w:r>
        <w:rPr>
          <w:sz w:val="20"/>
          <w:szCs w:val="20"/>
        </w:rPr>
        <w:t xml:space="preserve">schnell reaktiv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Triflex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2025-09-27T04:11:11+02:00</dcterms:created>
  <dcterms:modified xsi:type="dcterms:W3CDTF">2025-09-27T04:11:11+02:00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