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WICTEC 50 - Pfosten-Riegel-Fassade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Beschusshemmung Fenster/Tür/Tor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FB4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Pfosten-Riegel-Fassade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5.6 kN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Glaslastabtragung</w:t>
      </w:r>
    </w:p>
    <w:p>
      <w:pPr>
        <w:keepLines w:val="1"/>
        <w:spacing w:after="0"/>
      </w:pPr>
      <w:r>
        <w:rPr>
          <w:sz w:val="20"/>
          <w:szCs w:val="20"/>
        </w:rPr>
        <w:t xml:space="preserve">zuverlässig  bis 5,6 kN, mit angepasster Riegelverbindungstechnik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 Ergänzung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E5 / I5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Polygonanwendung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45° (je Seite = 90°- Ecke)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Systemprüfungen/CE-Produktpass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DIN EN 13380 / Bauaufsichtliche Zulassungen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TRAV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Verschraubung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sichtbar/unsichtbar (Verglasung von außen)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Passivhausfassade, SG-Design (integriertes Andruckprofil), Structural Glazing Fassade, Aufsatzfassade Stahl / Holz, Integrierter Sonnenschutz, Brandschutzfassade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2025-11-04T21:16:01+01:00</dcterms:created>
  <dcterms:modified xsi:type="dcterms:W3CDTF">2025-11-04T21:16:01+01:00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