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Kamtec ISS Kaminofenzug, ein-/zweizügig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1-zügig + Luft-/Installationsschacht, 2-zügig, 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Abgasanlage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Abgasschacht+Innenrohr (mit Wärmedämmung), Abgasschacht+Innenrohr (mit Wärmedämmung) / Leerschacht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Druckklasse (DIN V 18160)</w:t>
      </w:r>
    </w:p>
    <w:p>
      <w:pPr>
        <w:keepLines w:val="1"/>
        <w:spacing w:after="0"/>
      </w:pPr>
      <w:r>
        <w:rPr>
          <w:sz w:val="20"/>
          <w:szCs w:val="20"/>
        </w:rPr>
        <w:t xml:space="preserve">N1, P1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Kondensatbeständigkeitsklasse (DIN V 18160)</w:t>
      </w:r>
    </w:p>
    <w:p>
      <w:pPr>
        <w:keepLines w:val="1"/>
        <w:spacing w:after="0"/>
      </w:pPr>
      <w:r>
        <w:rPr>
          <w:sz w:val="20"/>
          <w:szCs w:val="20"/>
        </w:rPr>
        <w:t xml:space="preserve">D,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Rußbrandbeständigkeitsklasse (DIN V 18160)</w:t>
      </w:r>
    </w:p>
    <w:p>
      <w:pPr>
        <w:keepLines w:val="1"/>
        <w:spacing w:after="0"/>
      </w:pPr>
      <w:r>
        <w:rPr>
          <w:sz w:val="20"/>
          <w:szCs w:val="20"/>
        </w:rPr>
        <w:t xml:space="preserve">Gxx, Oxx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Temperaturklasse (DIN V 18160)</w:t>
      </w:r>
    </w:p>
    <w:p>
      <w:pPr>
        <w:keepLines w:val="1"/>
        <w:spacing w:after="0"/>
      </w:pPr>
      <w:r>
        <w:rPr>
          <w:sz w:val="20"/>
          <w:szCs w:val="20"/>
        </w:rPr>
        <w:t xml:space="preserve">T160, T200, T400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Leichtbeton,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feuchteunempfindlichen Betrieb, für trockenen 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Außenschale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Ziegel, 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Innenrohr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</w:t>
      </w:r>
    </w:p>
    <w:p>
      <w:pPr>
        <w:keepLines w:val="1"/>
        <w:spacing w:after="0"/>
      </w:pPr>
      <w:r>
        <w:rPr>
          <w:sz w:val="20"/>
          <w:szCs w:val="20"/>
        </w:rPr>
        <w:t xml:space="preserve">20,0, 16,0, 18,0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2025-11-03T08:13:45+01:00</dcterms:created>
  <dcterms:modified xsi:type="dcterms:W3CDTF">2025-11-03T08:13:45+01:00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